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C59" w:rsidRPr="0071514D" w:rsidRDefault="00115C59" w:rsidP="00115C59">
      <w:pPr>
        <w:shd w:val="clear" w:color="auto" w:fill="FFFFFF"/>
        <w:spacing w:before="100" w:beforeAutospacing="1" w:after="150" w:line="240" w:lineRule="auto"/>
        <w:contextualSpacing/>
        <w:jc w:val="center"/>
        <w:rPr>
          <w:rFonts w:eastAsia="Times New Roman" w:cs="Calibri"/>
          <w:color w:val="000000"/>
          <w:sz w:val="28"/>
          <w:szCs w:val="28"/>
          <w:u w:val="single"/>
          <w:lang w:eastAsia="cs-CZ"/>
        </w:rPr>
      </w:pPr>
      <w:bookmarkStart w:id="0" w:name="_GoBack"/>
      <w:bookmarkEnd w:id="0"/>
      <w:r w:rsidRPr="0071514D">
        <w:rPr>
          <w:rFonts w:eastAsia="Times New Roman" w:cs="Calibri"/>
          <w:b/>
          <w:bCs/>
          <w:color w:val="000000"/>
          <w:sz w:val="28"/>
          <w:szCs w:val="28"/>
          <w:u w:val="single"/>
          <w:lang w:eastAsia="cs-CZ"/>
        </w:rPr>
        <w:t>Topení a komíny</w:t>
      </w:r>
    </w:p>
    <w:p w:rsidR="00115C59" w:rsidRPr="005D7EE2" w:rsidRDefault="00115C59" w:rsidP="00115C59">
      <w:pPr>
        <w:shd w:val="clear" w:color="auto" w:fill="FFFFFF"/>
        <w:spacing w:before="100" w:beforeAutospacing="1" w:after="150" w:line="240" w:lineRule="auto"/>
        <w:contextualSpacing/>
        <w:jc w:val="both"/>
        <w:rPr>
          <w:rFonts w:eastAsia="Times New Roman" w:cs="Calibri"/>
          <w:color w:val="000000"/>
          <w:lang w:eastAsia="cs-CZ"/>
        </w:rPr>
      </w:pPr>
    </w:p>
    <w:p w:rsidR="00115C59" w:rsidRPr="005D7EE2" w:rsidRDefault="00CC3CD3" w:rsidP="00115C59">
      <w:pPr>
        <w:shd w:val="clear" w:color="auto" w:fill="FFFFFF"/>
        <w:spacing w:before="100" w:beforeAutospacing="1" w:after="150" w:line="240" w:lineRule="auto"/>
        <w:contextualSpacing/>
        <w:jc w:val="both"/>
        <w:rPr>
          <w:rFonts w:eastAsia="Times New Roman" w:cs="Calibri"/>
          <w:color w:val="000000"/>
          <w:lang w:eastAsia="cs-CZ"/>
        </w:rPr>
      </w:pPr>
      <w:r>
        <w:rPr>
          <w:rFonts w:eastAsia="Times New Roman" w:cs="Calibri"/>
          <w:color w:val="000000"/>
          <w:lang w:eastAsia="cs-CZ"/>
        </w:rPr>
        <w:t>Začala topná sezóna a s</w:t>
      </w:r>
      <w:r w:rsidR="00115C59" w:rsidRPr="005D7EE2">
        <w:rPr>
          <w:rFonts w:eastAsia="Times New Roman" w:cs="Calibri"/>
          <w:color w:val="000000"/>
          <w:lang w:eastAsia="cs-CZ"/>
        </w:rPr>
        <w:t xml:space="preserve"> </w:t>
      </w:r>
      <w:r w:rsidR="00D2788C">
        <w:rPr>
          <w:rFonts w:eastAsia="Times New Roman" w:cs="Calibri"/>
          <w:color w:val="000000"/>
          <w:lang w:eastAsia="cs-CZ"/>
        </w:rPr>
        <w:t>ní</w:t>
      </w:r>
      <w:r w:rsidR="00115C59" w:rsidRPr="005D7EE2">
        <w:rPr>
          <w:rFonts w:eastAsia="Times New Roman" w:cs="Calibri"/>
          <w:color w:val="000000"/>
          <w:lang w:eastAsia="cs-CZ"/>
        </w:rPr>
        <w:t xml:space="preserve"> číhá na majitele nemovitostí nebezpečí vzniku požárů sazí a dehtových usazenin ve špatně udržovaných komínech. Hlavní příčinou bývá zanedbaná údržba komínového tělesa, protože i malé nečistoty v komíně mohou snadno způsobit velké nepříjemnosti</w:t>
      </w:r>
      <w:r w:rsidR="00B869B3">
        <w:rPr>
          <w:rFonts w:eastAsia="Times New Roman" w:cs="Calibri"/>
          <w:color w:val="000000"/>
          <w:lang w:eastAsia="cs-CZ"/>
        </w:rPr>
        <w:t xml:space="preserve">. </w:t>
      </w:r>
      <w:r w:rsidR="00D2788C">
        <w:rPr>
          <w:rFonts w:eastAsia="Times New Roman" w:cs="Calibri"/>
          <w:color w:val="000000"/>
          <w:lang w:eastAsia="cs-CZ"/>
        </w:rPr>
        <w:t>Nezapomínejme</w:t>
      </w:r>
      <w:r w:rsidR="00115C59" w:rsidRPr="005D7EE2">
        <w:rPr>
          <w:rFonts w:eastAsia="Times New Roman" w:cs="Calibri"/>
          <w:color w:val="000000"/>
          <w:lang w:eastAsia="cs-CZ"/>
        </w:rPr>
        <w:t xml:space="preserve"> proto na pravidelné čistění komínů a vybírání sazí, stejně </w:t>
      </w:r>
      <w:r w:rsidR="008A2155">
        <w:rPr>
          <w:rFonts w:eastAsia="Times New Roman" w:cs="Calibri"/>
          <w:color w:val="000000"/>
          <w:lang w:eastAsia="cs-CZ"/>
        </w:rPr>
        <w:t xml:space="preserve">tak </w:t>
      </w:r>
      <w:r w:rsidR="00115C59" w:rsidRPr="005D7EE2">
        <w:rPr>
          <w:rFonts w:eastAsia="Times New Roman" w:cs="Calibri"/>
          <w:color w:val="000000"/>
          <w:lang w:eastAsia="cs-CZ"/>
        </w:rPr>
        <w:t>jako na kontrolu technického stavu komínu odborníky – kominíky!</w:t>
      </w:r>
    </w:p>
    <w:p w:rsidR="008C4DBD" w:rsidRPr="005D7EE2" w:rsidRDefault="008C4DBD" w:rsidP="00115C59">
      <w:pPr>
        <w:shd w:val="clear" w:color="auto" w:fill="FFFFFF"/>
        <w:spacing w:before="100" w:beforeAutospacing="1" w:after="150" w:line="240" w:lineRule="auto"/>
        <w:contextualSpacing/>
        <w:jc w:val="both"/>
        <w:rPr>
          <w:rFonts w:eastAsia="Times New Roman" w:cs="Calibri"/>
          <w:color w:val="000000"/>
          <w:lang w:eastAsia="cs-CZ"/>
        </w:rPr>
      </w:pPr>
    </w:p>
    <w:p w:rsidR="008C4DBD" w:rsidRDefault="00DE6E0F" w:rsidP="00115C59">
      <w:pPr>
        <w:shd w:val="clear" w:color="auto" w:fill="FFFFFF"/>
        <w:spacing w:before="100" w:beforeAutospacing="1" w:after="150" w:line="240" w:lineRule="auto"/>
        <w:contextualSpacing/>
        <w:jc w:val="both"/>
        <w:rPr>
          <w:rFonts w:eastAsia="Times New Roman" w:cs="Calibri"/>
          <w:color w:val="000000"/>
          <w:lang w:eastAsia="cs-CZ"/>
        </w:rPr>
      </w:pPr>
      <w:r>
        <w:rPr>
          <w:rFonts w:eastAsia="Times New Roman" w:cs="Calibri"/>
          <w:color w:val="000000"/>
          <w:lang w:eastAsia="cs-CZ"/>
        </w:rPr>
        <w:t xml:space="preserve">Od počátku roku ke </w:t>
      </w:r>
      <w:r w:rsidR="008C4DBD" w:rsidRPr="005D7EE2">
        <w:rPr>
          <w:rFonts w:eastAsia="Times New Roman" w:cs="Calibri"/>
          <w:color w:val="000000"/>
          <w:lang w:eastAsia="cs-CZ"/>
        </w:rPr>
        <w:t xml:space="preserve">konci </w:t>
      </w:r>
      <w:r w:rsidR="00CC3CD3">
        <w:rPr>
          <w:rFonts w:eastAsia="Times New Roman" w:cs="Calibri"/>
          <w:color w:val="000000"/>
          <w:lang w:eastAsia="cs-CZ"/>
        </w:rPr>
        <w:t xml:space="preserve">měsíce </w:t>
      </w:r>
      <w:r w:rsidR="001037F0">
        <w:rPr>
          <w:rFonts w:eastAsia="Times New Roman" w:cs="Calibri"/>
          <w:color w:val="000000"/>
          <w:lang w:eastAsia="cs-CZ"/>
        </w:rPr>
        <w:t>září</w:t>
      </w:r>
      <w:r w:rsidR="008C4DBD" w:rsidRPr="005D7EE2">
        <w:rPr>
          <w:rFonts w:eastAsia="Times New Roman" w:cs="Calibri"/>
          <w:color w:val="000000"/>
          <w:lang w:eastAsia="cs-CZ"/>
        </w:rPr>
        <w:t xml:space="preserve"> </w:t>
      </w:r>
      <w:r w:rsidRPr="005D7EE2">
        <w:rPr>
          <w:rFonts w:eastAsia="Times New Roman" w:cs="Calibri"/>
          <w:color w:val="000000"/>
          <w:lang w:eastAsia="cs-CZ"/>
        </w:rPr>
        <w:t xml:space="preserve">evidují </w:t>
      </w:r>
      <w:r w:rsidR="008C4DBD" w:rsidRPr="005D7EE2">
        <w:rPr>
          <w:rFonts w:eastAsia="Times New Roman" w:cs="Calibri"/>
          <w:color w:val="000000"/>
          <w:lang w:eastAsia="cs-CZ"/>
        </w:rPr>
        <w:t xml:space="preserve">hasiči na okrese Bruntál </w:t>
      </w:r>
      <w:r w:rsidR="00691443">
        <w:rPr>
          <w:rFonts w:eastAsia="Times New Roman" w:cs="Calibri"/>
          <w:color w:val="000000"/>
          <w:lang w:eastAsia="cs-CZ"/>
        </w:rPr>
        <w:t>14</w:t>
      </w:r>
      <w:r w:rsidR="008C4DBD" w:rsidRPr="005D7EE2">
        <w:rPr>
          <w:rFonts w:eastAsia="Times New Roman" w:cs="Calibri"/>
          <w:color w:val="000000"/>
          <w:lang w:eastAsia="cs-CZ"/>
        </w:rPr>
        <w:t xml:space="preserve"> požárů komínových těles. Majitelé, kteří neprokázali hasičům kontrolu a čištění spalinové cesty</w:t>
      </w:r>
      <w:r w:rsidR="008A2155">
        <w:rPr>
          <w:rFonts w:eastAsia="Times New Roman" w:cs="Calibri"/>
          <w:color w:val="000000"/>
          <w:lang w:eastAsia="cs-CZ"/>
        </w:rPr>
        <w:t>,</w:t>
      </w:r>
      <w:r w:rsidR="008C4DBD" w:rsidRPr="005D7EE2">
        <w:rPr>
          <w:rFonts w:eastAsia="Times New Roman" w:cs="Calibri"/>
          <w:color w:val="000000"/>
          <w:lang w:eastAsia="cs-CZ"/>
        </w:rPr>
        <w:t xml:space="preserve"> </w:t>
      </w:r>
      <w:r w:rsidR="00AB497D">
        <w:rPr>
          <w:rFonts w:eastAsia="Times New Roman" w:cs="Calibri"/>
          <w:color w:val="000000"/>
          <w:lang w:eastAsia="cs-CZ"/>
        </w:rPr>
        <w:t xml:space="preserve">byli </w:t>
      </w:r>
      <w:r w:rsidR="00B869B3">
        <w:rPr>
          <w:rFonts w:eastAsia="Times New Roman" w:cs="Calibri"/>
          <w:color w:val="000000"/>
          <w:lang w:eastAsia="cs-CZ"/>
        </w:rPr>
        <w:t xml:space="preserve">pokutováni </w:t>
      </w:r>
      <w:r w:rsidR="00AB497D" w:rsidRPr="005D7EE2">
        <w:rPr>
          <w:rFonts w:eastAsia="Times New Roman" w:cs="Calibri"/>
          <w:color w:val="000000"/>
          <w:lang w:eastAsia="cs-CZ"/>
        </w:rPr>
        <w:t xml:space="preserve">v přestupkovém řízení </w:t>
      </w:r>
      <w:r w:rsidR="008C4DBD" w:rsidRPr="005D7EE2">
        <w:rPr>
          <w:rFonts w:eastAsia="Times New Roman" w:cs="Calibri"/>
          <w:color w:val="000000"/>
          <w:lang w:eastAsia="cs-CZ"/>
        </w:rPr>
        <w:t xml:space="preserve">a do provedení revize </w:t>
      </w:r>
      <w:r w:rsidR="00AB497D">
        <w:rPr>
          <w:rFonts w:eastAsia="Times New Roman" w:cs="Calibri"/>
          <w:color w:val="000000"/>
          <w:lang w:eastAsia="cs-CZ"/>
        </w:rPr>
        <w:t xml:space="preserve">spalinové cesty </w:t>
      </w:r>
      <w:r w:rsidR="008C4DBD" w:rsidRPr="005D7EE2">
        <w:rPr>
          <w:rFonts w:eastAsia="Times New Roman" w:cs="Calibri"/>
          <w:color w:val="000000"/>
          <w:lang w:eastAsia="cs-CZ"/>
        </w:rPr>
        <w:t>odbornou oso</w:t>
      </w:r>
      <w:r w:rsidR="00B77A65">
        <w:rPr>
          <w:rFonts w:eastAsia="Times New Roman" w:cs="Calibri"/>
          <w:color w:val="000000"/>
          <w:lang w:eastAsia="cs-CZ"/>
        </w:rPr>
        <w:t xml:space="preserve">bou </w:t>
      </w:r>
      <w:r w:rsidR="001366D2">
        <w:rPr>
          <w:rFonts w:eastAsia="Times New Roman" w:cs="Calibri"/>
          <w:color w:val="000000"/>
          <w:lang w:eastAsia="cs-CZ"/>
        </w:rPr>
        <w:t>(</w:t>
      </w:r>
      <w:r w:rsidR="00AB497D">
        <w:rPr>
          <w:rFonts w:eastAsia="Times New Roman" w:cs="Calibri"/>
          <w:color w:val="000000"/>
          <w:lang w:eastAsia="cs-CZ"/>
        </w:rPr>
        <w:t>revizním technikem komínů</w:t>
      </w:r>
      <w:r w:rsidR="001366D2">
        <w:rPr>
          <w:rFonts w:eastAsia="Times New Roman" w:cs="Calibri"/>
          <w:color w:val="000000"/>
          <w:lang w:eastAsia="cs-CZ"/>
        </w:rPr>
        <w:t>)</w:t>
      </w:r>
      <w:r w:rsidR="00B77A65">
        <w:rPr>
          <w:rFonts w:eastAsia="Times New Roman" w:cs="Calibri"/>
          <w:color w:val="000000"/>
          <w:lang w:eastAsia="cs-CZ"/>
        </w:rPr>
        <w:t>,</w:t>
      </w:r>
      <w:r w:rsidR="00AB497D">
        <w:rPr>
          <w:rFonts w:eastAsia="Times New Roman" w:cs="Calibri"/>
          <w:color w:val="000000"/>
          <w:lang w:eastAsia="cs-CZ"/>
        </w:rPr>
        <w:t xml:space="preserve"> jim bylo zakázáno </w:t>
      </w:r>
      <w:r w:rsidR="00CC3CD3">
        <w:rPr>
          <w:rFonts w:eastAsia="Times New Roman" w:cs="Calibri"/>
          <w:color w:val="000000"/>
          <w:lang w:eastAsia="cs-CZ"/>
        </w:rPr>
        <w:t>komín užívat</w:t>
      </w:r>
      <w:r w:rsidR="00AB497D">
        <w:rPr>
          <w:rFonts w:eastAsia="Times New Roman" w:cs="Calibri"/>
          <w:color w:val="000000"/>
          <w:lang w:eastAsia="cs-CZ"/>
        </w:rPr>
        <w:t>.</w:t>
      </w:r>
    </w:p>
    <w:p w:rsidR="00115C59" w:rsidRPr="00115C59" w:rsidRDefault="00115C59" w:rsidP="00115C59">
      <w:pPr>
        <w:shd w:val="clear" w:color="auto" w:fill="FFFFFF"/>
        <w:spacing w:before="100" w:beforeAutospacing="1" w:after="150" w:line="240" w:lineRule="auto"/>
        <w:contextualSpacing/>
        <w:jc w:val="both"/>
        <w:rPr>
          <w:rFonts w:eastAsia="Times New Roman" w:cs="Calibri"/>
          <w:color w:val="000000"/>
          <w:lang w:eastAsia="cs-CZ"/>
        </w:rPr>
      </w:pPr>
    </w:p>
    <w:p w:rsidR="00115C59" w:rsidRPr="005D7EE2" w:rsidRDefault="002B767D" w:rsidP="00115C59">
      <w:pPr>
        <w:shd w:val="clear" w:color="auto" w:fill="FFFFFF"/>
        <w:spacing w:before="100" w:beforeAutospacing="1" w:after="0" w:line="240" w:lineRule="auto"/>
        <w:contextualSpacing/>
        <w:jc w:val="both"/>
        <w:rPr>
          <w:rFonts w:eastAsia="Times New Roman" w:cs="Calibri"/>
          <w:color w:val="000000"/>
          <w:lang w:eastAsia="cs-CZ"/>
        </w:rPr>
      </w:pPr>
      <w:r>
        <w:rPr>
          <w:rFonts w:eastAsia="Times New Roman" w:cs="Calibri"/>
          <w:color w:val="000000"/>
          <w:lang w:eastAsia="cs-CZ"/>
        </w:rPr>
        <w:t>Povinnosti při údržbě</w:t>
      </w:r>
      <w:r w:rsidR="00115C59" w:rsidRPr="00115C59">
        <w:rPr>
          <w:rFonts w:eastAsia="Times New Roman" w:cs="Calibri"/>
          <w:color w:val="000000"/>
          <w:lang w:eastAsia="cs-CZ"/>
        </w:rPr>
        <w:t xml:space="preserve"> spali</w:t>
      </w:r>
      <w:r w:rsidR="00D54673">
        <w:rPr>
          <w:rFonts w:eastAsia="Times New Roman" w:cs="Calibri"/>
          <w:color w:val="000000"/>
          <w:lang w:eastAsia="cs-CZ"/>
        </w:rPr>
        <w:t xml:space="preserve">nové cesty jsou stanoveny </w:t>
      </w:r>
      <w:r w:rsidR="00115C59" w:rsidRPr="00115C59">
        <w:rPr>
          <w:rFonts w:eastAsia="Times New Roman" w:cs="Calibri"/>
          <w:color w:val="000000"/>
          <w:lang w:eastAsia="cs-CZ"/>
        </w:rPr>
        <w:t xml:space="preserve">Vyhláškou č. 34/2016 Sb., o čištění, kontrole </w:t>
      </w:r>
      <w:r w:rsidR="00B869B3">
        <w:rPr>
          <w:rFonts w:eastAsia="Times New Roman" w:cs="Calibri"/>
          <w:color w:val="000000"/>
          <w:lang w:eastAsia="cs-CZ"/>
        </w:rPr>
        <w:br/>
      </w:r>
      <w:r w:rsidR="00115C59" w:rsidRPr="00115C59">
        <w:rPr>
          <w:rFonts w:eastAsia="Times New Roman" w:cs="Calibri"/>
          <w:color w:val="000000"/>
          <w:lang w:eastAsia="cs-CZ"/>
        </w:rPr>
        <w:t xml:space="preserve">a revizi spalinové cesty, </w:t>
      </w:r>
      <w:r w:rsidR="00691443">
        <w:rPr>
          <w:rFonts w:eastAsia="Times New Roman" w:cs="Calibri"/>
          <w:color w:val="000000"/>
          <w:lang w:eastAsia="cs-CZ"/>
        </w:rPr>
        <w:t>ve znění pozdějších předpisů.</w:t>
      </w:r>
    </w:p>
    <w:p w:rsidR="00115C59" w:rsidRPr="00115C59" w:rsidRDefault="00115C59" w:rsidP="00115C59">
      <w:pPr>
        <w:shd w:val="clear" w:color="auto" w:fill="FFFFFF"/>
        <w:spacing w:before="100" w:beforeAutospacing="1" w:after="0" w:line="240" w:lineRule="auto"/>
        <w:contextualSpacing/>
        <w:jc w:val="both"/>
        <w:rPr>
          <w:rFonts w:eastAsia="Times New Roman" w:cs="Calibri"/>
          <w:color w:val="000000"/>
          <w:lang w:eastAsia="cs-CZ"/>
        </w:rPr>
      </w:pPr>
    </w:p>
    <w:p w:rsidR="00115C59" w:rsidRPr="00115C59" w:rsidRDefault="00115C59" w:rsidP="00115C59">
      <w:pPr>
        <w:shd w:val="clear" w:color="auto" w:fill="FFFFFF"/>
        <w:spacing w:before="100" w:beforeAutospacing="1" w:after="0" w:line="240" w:lineRule="auto"/>
        <w:contextualSpacing/>
        <w:jc w:val="both"/>
        <w:rPr>
          <w:rFonts w:eastAsia="Times New Roman" w:cs="Calibri"/>
          <w:color w:val="000000"/>
          <w:lang w:eastAsia="cs-CZ"/>
        </w:rPr>
      </w:pPr>
      <w:r w:rsidRPr="00115C59">
        <w:rPr>
          <w:rFonts w:eastAsia="Times New Roman" w:cs="Calibri"/>
          <w:b/>
          <w:bCs/>
          <w:color w:val="000000"/>
          <w:lang w:eastAsia="cs-CZ"/>
        </w:rPr>
        <w:t>Kdy a v jakých lhůtách se tedy kontroly, revize a čištění spalinových cest musí provádět a kdo je může provádět?</w:t>
      </w:r>
    </w:p>
    <w:p w:rsidR="00115C59" w:rsidRPr="00115C59" w:rsidRDefault="00115C59" w:rsidP="00115C59">
      <w:pPr>
        <w:shd w:val="clear" w:color="auto" w:fill="FFFFFF"/>
        <w:spacing w:before="100" w:beforeAutospacing="1" w:after="0" w:line="240" w:lineRule="auto"/>
        <w:contextualSpacing/>
        <w:jc w:val="both"/>
        <w:rPr>
          <w:rFonts w:eastAsia="Times New Roman" w:cs="Calibri"/>
          <w:color w:val="000000"/>
          <w:lang w:eastAsia="cs-CZ"/>
        </w:rPr>
      </w:pPr>
      <w:r w:rsidRPr="00115C59">
        <w:rPr>
          <w:rFonts w:eastAsia="Times New Roman" w:cs="Calibri"/>
          <w:b/>
          <w:bCs/>
          <w:color w:val="000000"/>
          <w:lang w:eastAsia="cs-CZ"/>
        </w:rPr>
        <w:t>Kontrola spalinových cest</w:t>
      </w:r>
      <w:r w:rsidRPr="005D7EE2">
        <w:rPr>
          <w:rFonts w:eastAsia="Times New Roman" w:cs="Calibri"/>
          <w:b/>
          <w:bCs/>
          <w:color w:val="000000"/>
          <w:lang w:eastAsia="cs-CZ"/>
        </w:rPr>
        <w:t> </w:t>
      </w:r>
      <w:r w:rsidRPr="00115C59">
        <w:rPr>
          <w:rFonts w:eastAsia="Times New Roman" w:cs="Calibri"/>
          <w:color w:val="000000"/>
          <w:lang w:eastAsia="cs-CZ"/>
        </w:rPr>
        <w:t>se provádí po jejím vyčištění posouzením:</w:t>
      </w:r>
    </w:p>
    <w:p w:rsidR="00115C59" w:rsidRPr="00115C59" w:rsidRDefault="00115C59" w:rsidP="00115C59">
      <w:pPr>
        <w:numPr>
          <w:ilvl w:val="0"/>
          <w:numId w:val="1"/>
        </w:numPr>
        <w:shd w:val="clear" w:color="auto" w:fill="FFFFFF"/>
        <w:spacing w:after="0" w:line="240" w:lineRule="auto"/>
        <w:contextualSpacing/>
        <w:jc w:val="both"/>
        <w:rPr>
          <w:rFonts w:eastAsia="Times New Roman" w:cs="Calibri"/>
          <w:color w:val="000000"/>
          <w:lang w:eastAsia="cs-CZ"/>
        </w:rPr>
      </w:pPr>
      <w:r w:rsidRPr="00115C59">
        <w:rPr>
          <w:rFonts w:eastAsia="Times New Roman" w:cs="Calibri"/>
          <w:color w:val="000000"/>
          <w:lang w:eastAsia="cs-CZ"/>
        </w:rPr>
        <w:t>zda stav a provedení spalinové cesty v době kontroly odpovídá technickým požadavkům, podle kterých byla navržena a provedena a bylo zahájeno její užívání,</w:t>
      </w:r>
    </w:p>
    <w:p w:rsidR="00115C59" w:rsidRPr="00115C59" w:rsidRDefault="00115C59" w:rsidP="00115C59">
      <w:pPr>
        <w:numPr>
          <w:ilvl w:val="0"/>
          <w:numId w:val="1"/>
        </w:numPr>
        <w:shd w:val="clear" w:color="auto" w:fill="FFFFFF"/>
        <w:spacing w:after="0" w:line="240" w:lineRule="auto"/>
        <w:contextualSpacing/>
        <w:jc w:val="both"/>
        <w:rPr>
          <w:rFonts w:eastAsia="Times New Roman" w:cs="Calibri"/>
          <w:color w:val="000000"/>
          <w:lang w:eastAsia="cs-CZ"/>
        </w:rPr>
      </w:pPr>
      <w:r w:rsidRPr="00115C59">
        <w:rPr>
          <w:rFonts w:eastAsia="Times New Roman" w:cs="Calibri"/>
          <w:color w:val="000000"/>
          <w:lang w:eastAsia="cs-CZ"/>
        </w:rPr>
        <w:t xml:space="preserve">zda stav a provedení spalinové cesty zajistí, aby byly bezpečně odvedeny a rozptýleny </w:t>
      </w:r>
      <w:r w:rsidR="00B77A65">
        <w:rPr>
          <w:rFonts w:eastAsia="Times New Roman" w:cs="Calibri"/>
          <w:color w:val="000000"/>
          <w:lang w:eastAsia="cs-CZ"/>
        </w:rPr>
        <w:br/>
      </w:r>
      <w:r w:rsidRPr="00115C59">
        <w:rPr>
          <w:rFonts w:eastAsia="Times New Roman" w:cs="Calibri"/>
          <w:color w:val="000000"/>
          <w:lang w:eastAsia="cs-CZ"/>
        </w:rPr>
        <w:t>do volného ovzduší spaliny od všech připojených spotřebičů,</w:t>
      </w:r>
    </w:p>
    <w:p w:rsidR="00115C59" w:rsidRPr="00115C59" w:rsidRDefault="00115C59" w:rsidP="00115C59">
      <w:pPr>
        <w:numPr>
          <w:ilvl w:val="0"/>
          <w:numId w:val="1"/>
        </w:numPr>
        <w:shd w:val="clear" w:color="auto" w:fill="FFFFFF"/>
        <w:spacing w:after="0" w:line="240" w:lineRule="auto"/>
        <w:contextualSpacing/>
        <w:jc w:val="both"/>
        <w:rPr>
          <w:rFonts w:eastAsia="Times New Roman" w:cs="Calibri"/>
          <w:color w:val="000000"/>
          <w:lang w:eastAsia="cs-CZ"/>
        </w:rPr>
      </w:pPr>
      <w:r w:rsidRPr="00115C59">
        <w:rPr>
          <w:rFonts w:eastAsia="Times New Roman" w:cs="Calibri"/>
          <w:color w:val="000000"/>
          <w:lang w:eastAsia="cs-CZ"/>
        </w:rPr>
        <w:t>zda je zajištěn volný a bezpečný přístup ke spalinové cestě a k jejím vybíracím, vymetacím, kontrolním, měřícím a čisticím otvorům,</w:t>
      </w:r>
    </w:p>
    <w:p w:rsidR="00115C59" w:rsidRPr="00115C59" w:rsidRDefault="00115C59" w:rsidP="00115C59">
      <w:pPr>
        <w:numPr>
          <w:ilvl w:val="0"/>
          <w:numId w:val="1"/>
        </w:numPr>
        <w:shd w:val="clear" w:color="auto" w:fill="FFFFFF"/>
        <w:spacing w:after="0" w:line="240" w:lineRule="auto"/>
        <w:contextualSpacing/>
        <w:jc w:val="both"/>
        <w:rPr>
          <w:rFonts w:eastAsia="Times New Roman" w:cs="Calibri"/>
          <w:color w:val="000000"/>
          <w:lang w:eastAsia="cs-CZ"/>
        </w:rPr>
      </w:pPr>
      <w:r w:rsidRPr="00115C59">
        <w:rPr>
          <w:rFonts w:eastAsia="Times New Roman" w:cs="Calibri"/>
          <w:color w:val="000000"/>
          <w:lang w:eastAsia="cs-CZ"/>
        </w:rPr>
        <w:t>zda je dodržena bezpečná vzdálenost spalinové cesty od hořlavých předmětů a stavebních hmot třídy reakce na oheň B až F,</w:t>
      </w:r>
    </w:p>
    <w:p w:rsidR="00115C59" w:rsidRPr="00115C59" w:rsidRDefault="00115C59" w:rsidP="00115C59">
      <w:pPr>
        <w:numPr>
          <w:ilvl w:val="0"/>
          <w:numId w:val="1"/>
        </w:numPr>
        <w:shd w:val="clear" w:color="auto" w:fill="FFFFFF"/>
        <w:spacing w:after="0" w:line="240" w:lineRule="auto"/>
        <w:contextualSpacing/>
        <w:jc w:val="both"/>
        <w:rPr>
          <w:rFonts w:eastAsia="Times New Roman" w:cs="Calibri"/>
          <w:color w:val="000000"/>
          <w:lang w:eastAsia="cs-CZ"/>
        </w:rPr>
      </w:pPr>
      <w:r w:rsidRPr="00115C59">
        <w:rPr>
          <w:rFonts w:eastAsia="Times New Roman" w:cs="Calibri"/>
          <w:color w:val="000000"/>
          <w:lang w:eastAsia="cs-CZ"/>
        </w:rPr>
        <w:t xml:space="preserve">zajištění požární bezpečnosti stavby, zvláště při prostupu spalinové cesty vodorovnými </w:t>
      </w:r>
      <w:r w:rsidR="00B77A65">
        <w:rPr>
          <w:rFonts w:eastAsia="Times New Roman" w:cs="Calibri"/>
          <w:color w:val="000000"/>
          <w:lang w:eastAsia="cs-CZ"/>
        </w:rPr>
        <w:br/>
      </w:r>
      <w:r w:rsidRPr="00115C59">
        <w:rPr>
          <w:rFonts w:eastAsia="Times New Roman" w:cs="Calibri"/>
          <w:color w:val="000000"/>
          <w:lang w:eastAsia="cs-CZ"/>
        </w:rPr>
        <w:t>a svislými stavebními konstrukcemi, půdním prostorem nebo střechou a vývodů spalin obvodovou stěnou,</w:t>
      </w:r>
    </w:p>
    <w:p w:rsidR="00115C59" w:rsidRPr="005D7EE2" w:rsidRDefault="00115C59" w:rsidP="00115C59">
      <w:pPr>
        <w:numPr>
          <w:ilvl w:val="0"/>
          <w:numId w:val="1"/>
        </w:numPr>
        <w:shd w:val="clear" w:color="auto" w:fill="FFFFFF"/>
        <w:spacing w:after="0" w:line="240" w:lineRule="auto"/>
        <w:contextualSpacing/>
        <w:jc w:val="both"/>
        <w:rPr>
          <w:rFonts w:eastAsia="Times New Roman" w:cs="Calibri"/>
          <w:color w:val="000000"/>
          <w:lang w:eastAsia="cs-CZ"/>
        </w:rPr>
      </w:pPr>
      <w:r w:rsidRPr="00115C59">
        <w:rPr>
          <w:rFonts w:eastAsia="Times New Roman" w:cs="Calibri"/>
          <w:color w:val="000000"/>
          <w:lang w:eastAsia="cs-CZ"/>
        </w:rPr>
        <w:t>zda nedošlo k zásadním změnám oproti stavu zjištěnému při minulé kontrole nebo revizi.</w:t>
      </w:r>
    </w:p>
    <w:p w:rsidR="00115C59" w:rsidRPr="00115C59" w:rsidRDefault="00115C59" w:rsidP="00115C59">
      <w:pPr>
        <w:shd w:val="clear" w:color="auto" w:fill="FFFFFF"/>
        <w:spacing w:after="0" w:line="240" w:lineRule="auto"/>
        <w:ind w:left="720"/>
        <w:contextualSpacing/>
        <w:jc w:val="both"/>
        <w:rPr>
          <w:rFonts w:eastAsia="Times New Roman" w:cs="Calibri"/>
          <w:color w:val="000000"/>
          <w:lang w:eastAsia="cs-CZ"/>
        </w:rPr>
      </w:pPr>
    </w:p>
    <w:p w:rsidR="00115C59" w:rsidRPr="00115C59" w:rsidRDefault="00115C59" w:rsidP="00115C59">
      <w:pPr>
        <w:shd w:val="clear" w:color="auto" w:fill="FFFFFF"/>
        <w:spacing w:before="100" w:beforeAutospacing="1" w:after="0" w:line="240" w:lineRule="auto"/>
        <w:contextualSpacing/>
        <w:jc w:val="both"/>
        <w:rPr>
          <w:rFonts w:eastAsia="Times New Roman" w:cs="Calibri"/>
          <w:color w:val="000000"/>
          <w:lang w:eastAsia="cs-CZ"/>
        </w:rPr>
      </w:pPr>
      <w:r w:rsidRPr="00115C59">
        <w:rPr>
          <w:rFonts w:eastAsia="Times New Roman" w:cs="Calibri"/>
          <w:b/>
          <w:bCs/>
          <w:color w:val="000000"/>
          <w:lang w:eastAsia="cs-CZ"/>
        </w:rPr>
        <w:t>Kontrolu spalinové cesty provádí oprávněná osoba</w:t>
      </w:r>
      <w:r w:rsidRPr="00115C59">
        <w:rPr>
          <w:rFonts w:eastAsia="Times New Roman" w:cs="Calibri"/>
          <w:color w:val="000000"/>
          <w:lang w:eastAsia="cs-CZ"/>
        </w:rPr>
        <w:t>,</w:t>
      </w:r>
      <w:r w:rsidRPr="005D7EE2">
        <w:rPr>
          <w:rFonts w:eastAsia="Times New Roman" w:cs="Calibri"/>
          <w:color w:val="000000"/>
          <w:lang w:eastAsia="cs-CZ"/>
        </w:rPr>
        <w:t> </w:t>
      </w:r>
      <w:r w:rsidRPr="00115C59">
        <w:rPr>
          <w:rFonts w:eastAsia="Times New Roman" w:cs="Calibri"/>
          <w:b/>
          <w:bCs/>
          <w:color w:val="000000"/>
          <w:lang w:eastAsia="cs-CZ"/>
        </w:rPr>
        <w:t xml:space="preserve">kterou je držitel živnostenského oprávnění </w:t>
      </w:r>
      <w:r w:rsidR="00B77A65">
        <w:rPr>
          <w:rFonts w:eastAsia="Times New Roman" w:cs="Calibri"/>
          <w:b/>
          <w:bCs/>
          <w:color w:val="000000"/>
          <w:lang w:eastAsia="cs-CZ"/>
        </w:rPr>
        <w:br/>
      </w:r>
      <w:r w:rsidRPr="00115C59">
        <w:rPr>
          <w:rFonts w:eastAsia="Times New Roman" w:cs="Calibri"/>
          <w:b/>
          <w:bCs/>
          <w:color w:val="000000"/>
          <w:lang w:eastAsia="cs-CZ"/>
        </w:rPr>
        <w:t>v oboru kom</w:t>
      </w:r>
      <w:r w:rsidR="00AB3B39">
        <w:rPr>
          <w:rFonts w:eastAsia="Times New Roman" w:cs="Calibri"/>
          <w:b/>
          <w:bCs/>
          <w:color w:val="000000"/>
          <w:lang w:eastAsia="cs-CZ"/>
        </w:rPr>
        <w:t>inictví. S</w:t>
      </w:r>
      <w:r w:rsidR="00AB497D">
        <w:rPr>
          <w:rFonts w:eastAsia="Times New Roman" w:cs="Calibri"/>
          <w:b/>
          <w:bCs/>
          <w:color w:val="000000"/>
          <w:lang w:eastAsia="cs-CZ"/>
        </w:rPr>
        <w:t xml:space="preserve">eznam </w:t>
      </w:r>
      <w:r w:rsidR="007F0118">
        <w:rPr>
          <w:rFonts w:eastAsia="Times New Roman" w:cs="Calibri"/>
          <w:b/>
          <w:bCs/>
          <w:color w:val="000000"/>
          <w:lang w:eastAsia="cs-CZ"/>
        </w:rPr>
        <w:t>kominíků</w:t>
      </w:r>
      <w:r w:rsidR="00AB497D">
        <w:rPr>
          <w:rFonts w:eastAsia="Times New Roman" w:cs="Calibri"/>
          <w:b/>
          <w:bCs/>
          <w:color w:val="000000"/>
          <w:lang w:eastAsia="cs-CZ"/>
        </w:rPr>
        <w:t xml:space="preserve"> můžete nalézt např. na webových stránkách Společenst</w:t>
      </w:r>
      <w:r w:rsidR="007F0118">
        <w:rPr>
          <w:rFonts w:eastAsia="Times New Roman" w:cs="Calibri"/>
          <w:b/>
          <w:bCs/>
          <w:color w:val="000000"/>
          <w:lang w:eastAsia="cs-CZ"/>
        </w:rPr>
        <w:t>va kominíků ČR.</w:t>
      </w:r>
    </w:p>
    <w:p w:rsidR="00115C59" w:rsidRPr="005D7EE2" w:rsidRDefault="00115C59" w:rsidP="00115C59">
      <w:pPr>
        <w:shd w:val="clear" w:color="auto" w:fill="FFFFFF"/>
        <w:spacing w:before="100" w:beforeAutospacing="1" w:after="0" w:line="240" w:lineRule="auto"/>
        <w:contextualSpacing/>
        <w:jc w:val="both"/>
        <w:rPr>
          <w:rFonts w:eastAsia="Times New Roman" w:cs="Calibri"/>
          <w:b/>
          <w:bCs/>
          <w:color w:val="000000"/>
          <w:lang w:eastAsia="cs-CZ"/>
        </w:rPr>
      </w:pPr>
    </w:p>
    <w:p w:rsidR="00115C59" w:rsidRPr="00115C59" w:rsidRDefault="00115C59" w:rsidP="00115C59">
      <w:pPr>
        <w:shd w:val="clear" w:color="auto" w:fill="FFFFFF"/>
        <w:spacing w:before="100" w:beforeAutospacing="1" w:after="0" w:line="240" w:lineRule="auto"/>
        <w:contextualSpacing/>
        <w:jc w:val="both"/>
        <w:rPr>
          <w:rFonts w:eastAsia="Times New Roman" w:cs="Calibri"/>
          <w:color w:val="000000"/>
          <w:lang w:eastAsia="cs-CZ"/>
        </w:rPr>
      </w:pPr>
      <w:r w:rsidRPr="00115C59">
        <w:rPr>
          <w:rFonts w:eastAsia="Times New Roman" w:cs="Calibri"/>
          <w:b/>
          <w:bCs/>
          <w:color w:val="000000"/>
          <w:lang w:eastAsia="cs-CZ"/>
        </w:rPr>
        <w:t>Revize spalinové cesty</w:t>
      </w:r>
      <w:r w:rsidRPr="00115C59">
        <w:rPr>
          <w:rFonts w:eastAsia="Times New Roman" w:cs="Calibri"/>
          <w:color w:val="000000"/>
          <w:lang w:eastAsia="cs-CZ"/>
        </w:rPr>
        <w:t> se provádí:</w:t>
      </w:r>
    </w:p>
    <w:p w:rsidR="00115C59" w:rsidRPr="005D7EE2" w:rsidRDefault="00115C59" w:rsidP="00115C59">
      <w:pPr>
        <w:pStyle w:val="Odstavecseseznamem"/>
        <w:numPr>
          <w:ilvl w:val="0"/>
          <w:numId w:val="3"/>
        </w:numPr>
        <w:shd w:val="clear" w:color="auto" w:fill="FFFFFF"/>
        <w:spacing w:after="0" w:line="240" w:lineRule="auto"/>
        <w:jc w:val="both"/>
        <w:rPr>
          <w:rFonts w:eastAsia="Times New Roman" w:cs="Calibri"/>
          <w:color w:val="000000"/>
          <w:lang w:eastAsia="cs-CZ"/>
        </w:rPr>
      </w:pPr>
      <w:r w:rsidRPr="005D7EE2">
        <w:rPr>
          <w:rFonts w:eastAsia="Times New Roman" w:cs="Calibri"/>
          <w:color w:val="000000"/>
          <w:lang w:eastAsia="cs-CZ"/>
        </w:rPr>
        <w:t>před jejím uvedením do provozu,</w:t>
      </w:r>
    </w:p>
    <w:p w:rsidR="00115C59" w:rsidRPr="00115C59" w:rsidRDefault="00115C59" w:rsidP="00115C59">
      <w:pPr>
        <w:numPr>
          <w:ilvl w:val="0"/>
          <w:numId w:val="2"/>
        </w:numPr>
        <w:shd w:val="clear" w:color="auto" w:fill="FFFFFF"/>
        <w:spacing w:line="240" w:lineRule="auto"/>
        <w:contextualSpacing/>
        <w:jc w:val="both"/>
        <w:rPr>
          <w:rFonts w:eastAsia="Times New Roman" w:cs="Calibri"/>
          <w:color w:val="000000"/>
          <w:lang w:eastAsia="cs-CZ"/>
        </w:rPr>
      </w:pPr>
      <w:r w:rsidRPr="00115C59">
        <w:rPr>
          <w:rFonts w:eastAsia="Times New Roman" w:cs="Calibri"/>
          <w:color w:val="000000"/>
          <w:lang w:eastAsia="cs-CZ"/>
        </w:rPr>
        <w:t>při každé stavební úpravě komína,</w:t>
      </w:r>
    </w:p>
    <w:p w:rsidR="00115C59" w:rsidRPr="00115C59" w:rsidRDefault="00115C59" w:rsidP="00115C59">
      <w:pPr>
        <w:numPr>
          <w:ilvl w:val="0"/>
          <w:numId w:val="2"/>
        </w:numPr>
        <w:shd w:val="clear" w:color="auto" w:fill="FFFFFF"/>
        <w:spacing w:line="240" w:lineRule="auto"/>
        <w:contextualSpacing/>
        <w:jc w:val="both"/>
        <w:rPr>
          <w:rFonts w:eastAsia="Times New Roman" w:cs="Calibri"/>
          <w:color w:val="000000"/>
          <w:lang w:eastAsia="cs-CZ"/>
        </w:rPr>
      </w:pPr>
      <w:r w:rsidRPr="00115C59">
        <w:rPr>
          <w:rFonts w:eastAsia="Times New Roman" w:cs="Calibri"/>
          <w:color w:val="000000"/>
          <w:lang w:eastAsia="cs-CZ"/>
        </w:rPr>
        <w:t>při změně druhu paliva připojeného spotřebiče,</w:t>
      </w:r>
    </w:p>
    <w:p w:rsidR="00115C59" w:rsidRPr="00115C59" w:rsidRDefault="00115C59" w:rsidP="00115C59">
      <w:pPr>
        <w:numPr>
          <w:ilvl w:val="0"/>
          <w:numId w:val="2"/>
        </w:numPr>
        <w:shd w:val="clear" w:color="auto" w:fill="FFFFFF"/>
        <w:spacing w:line="240" w:lineRule="auto"/>
        <w:contextualSpacing/>
        <w:jc w:val="both"/>
        <w:rPr>
          <w:rFonts w:eastAsia="Times New Roman" w:cs="Calibri"/>
          <w:color w:val="000000"/>
          <w:lang w:eastAsia="cs-CZ"/>
        </w:rPr>
      </w:pPr>
      <w:r w:rsidRPr="00115C59">
        <w:rPr>
          <w:rFonts w:eastAsia="Times New Roman" w:cs="Calibri"/>
          <w:color w:val="000000"/>
          <w:lang w:eastAsia="cs-CZ"/>
        </w:rPr>
        <w:t>před připojením spotřebiče do nepoužívané spalinové cesty,</w:t>
      </w:r>
    </w:p>
    <w:p w:rsidR="00115C59" w:rsidRPr="00115C59" w:rsidRDefault="00115C59" w:rsidP="00115C59">
      <w:pPr>
        <w:numPr>
          <w:ilvl w:val="0"/>
          <w:numId w:val="2"/>
        </w:numPr>
        <w:shd w:val="clear" w:color="auto" w:fill="FFFFFF"/>
        <w:spacing w:line="240" w:lineRule="auto"/>
        <w:contextualSpacing/>
        <w:jc w:val="both"/>
        <w:rPr>
          <w:rFonts w:eastAsia="Times New Roman" w:cs="Calibri"/>
          <w:color w:val="000000"/>
          <w:lang w:eastAsia="cs-CZ"/>
        </w:rPr>
      </w:pPr>
      <w:r w:rsidRPr="00115C59">
        <w:rPr>
          <w:rFonts w:eastAsia="Times New Roman" w:cs="Calibri"/>
          <w:color w:val="000000"/>
          <w:lang w:eastAsia="cs-CZ"/>
        </w:rPr>
        <w:t>před výměnou spotřebiče paliv s výjimkou výměny spotřebiče stejného druhu, typu, provedení a výkonu za podmínky, že způsobilost spalinové cesty je potvrzena zprávou o provedení čištění a kontroly spalinové cesty,</w:t>
      </w:r>
    </w:p>
    <w:p w:rsidR="00115C59" w:rsidRPr="00115C59" w:rsidRDefault="00115C59" w:rsidP="00115C59">
      <w:pPr>
        <w:numPr>
          <w:ilvl w:val="0"/>
          <w:numId w:val="2"/>
        </w:numPr>
        <w:shd w:val="clear" w:color="auto" w:fill="FFFFFF"/>
        <w:spacing w:line="240" w:lineRule="auto"/>
        <w:contextualSpacing/>
        <w:jc w:val="both"/>
        <w:rPr>
          <w:rFonts w:eastAsia="Times New Roman" w:cs="Calibri"/>
          <w:color w:val="000000"/>
          <w:lang w:eastAsia="cs-CZ"/>
        </w:rPr>
      </w:pPr>
      <w:r w:rsidRPr="00115C59">
        <w:rPr>
          <w:rFonts w:eastAsia="Times New Roman" w:cs="Calibri"/>
          <w:color w:val="000000"/>
          <w:lang w:eastAsia="cs-CZ"/>
        </w:rPr>
        <w:t>po komínovém požáru,</w:t>
      </w:r>
    </w:p>
    <w:p w:rsidR="00115C59" w:rsidRPr="00115C59" w:rsidRDefault="00115C59" w:rsidP="00115C59">
      <w:pPr>
        <w:numPr>
          <w:ilvl w:val="0"/>
          <w:numId w:val="2"/>
        </w:numPr>
        <w:shd w:val="clear" w:color="auto" w:fill="FFFFFF"/>
        <w:spacing w:line="240" w:lineRule="auto"/>
        <w:contextualSpacing/>
        <w:jc w:val="both"/>
        <w:rPr>
          <w:rFonts w:eastAsia="Times New Roman" w:cs="Calibri"/>
          <w:color w:val="000000"/>
          <w:lang w:eastAsia="cs-CZ"/>
        </w:rPr>
      </w:pPr>
      <w:r w:rsidRPr="00115C59">
        <w:rPr>
          <w:rFonts w:eastAsia="Times New Roman" w:cs="Calibri"/>
          <w:color w:val="000000"/>
          <w:lang w:eastAsia="cs-CZ"/>
        </w:rPr>
        <w:t>při vzniku trhlin ve spalinové cestě, popř. při důvodném podezření na výskyt trhlin ve spalinové cestě.</w:t>
      </w:r>
    </w:p>
    <w:p w:rsidR="007F0118" w:rsidRDefault="007F0118" w:rsidP="00115C59">
      <w:pPr>
        <w:shd w:val="clear" w:color="auto" w:fill="FFFFFF"/>
        <w:spacing w:before="100" w:beforeAutospacing="1" w:after="0" w:line="240" w:lineRule="auto"/>
        <w:contextualSpacing/>
        <w:jc w:val="both"/>
        <w:rPr>
          <w:rFonts w:eastAsia="Times New Roman" w:cs="Calibri"/>
          <w:b/>
          <w:bCs/>
          <w:color w:val="000000"/>
          <w:lang w:eastAsia="cs-CZ"/>
        </w:rPr>
      </w:pPr>
    </w:p>
    <w:p w:rsidR="00115C59" w:rsidRDefault="00115C59" w:rsidP="00115C59">
      <w:pPr>
        <w:shd w:val="clear" w:color="auto" w:fill="FFFFFF"/>
        <w:spacing w:before="100" w:beforeAutospacing="1" w:after="0" w:line="240" w:lineRule="auto"/>
        <w:contextualSpacing/>
        <w:jc w:val="both"/>
        <w:rPr>
          <w:rFonts w:eastAsia="Times New Roman" w:cs="Calibri"/>
          <w:b/>
          <w:bCs/>
          <w:color w:val="000000"/>
          <w:lang w:eastAsia="cs-CZ"/>
        </w:rPr>
      </w:pPr>
      <w:r w:rsidRPr="00115C59">
        <w:rPr>
          <w:rFonts w:eastAsia="Times New Roman" w:cs="Calibri"/>
          <w:b/>
          <w:bCs/>
          <w:color w:val="000000"/>
          <w:lang w:eastAsia="cs-CZ"/>
        </w:rPr>
        <w:t>Revizi spalinových cest může provádět oprávněná osoba, která je zároveň držitelem osvědčení revi</w:t>
      </w:r>
      <w:r w:rsidR="00DE6E0F">
        <w:rPr>
          <w:rFonts w:eastAsia="Times New Roman" w:cs="Calibri"/>
          <w:b/>
          <w:bCs/>
          <w:color w:val="000000"/>
          <w:lang w:eastAsia="cs-CZ"/>
        </w:rPr>
        <w:t>zního technika spalinových cest.</w:t>
      </w:r>
      <w:r w:rsidR="007F0118">
        <w:rPr>
          <w:rFonts w:eastAsia="Times New Roman" w:cs="Calibri"/>
          <w:b/>
          <w:bCs/>
          <w:color w:val="000000"/>
          <w:lang w:eastAsia="cs-CZ"/>
        </w:rPr>
        <w:t xml:space="preserve"> </w:t>
      </w:r>
      <w:r w:rsidR="00DE6E0F">
        <w:rPr>
          <w:rFonts w:eastAsia="Times New Roman" w:cs="Calibri"/>
          <w:b/>
          <w:bCs/>
          <w:color w:val="000000"/>
          <w:lang w:eastAsia="cs-CZ"/>
        </w:rPr>
        <w:t>S</w:t>
      </w:r>
      <w:r w:rsidR="007F0118">
        <w:rPr>
          <w:rFonts w:eastAsia="Times New Roman" w:cs="Calibri"/>
          <w:b/>
          <w:bCs/>
          <w:color w:val="000000"/>
          <w:lang w:eastAsia="cs-CZ"/>
        </w:rPr>
        <w:t xml:space="preserve">eznam revizních techniků můžete </w:t>
      </w:r>
      <w:r w:rsidR="0071514D">
        <w:rPr>
          <w:rFonts w:eastAsia="Times New Roman" w:cs="Calibri"/>
          <w:b/>
          <w:bCs/>
          <w:color w:val="000000"/>
          <w:lang w:eastAsia="cs-CZ"/>
        </w:rPr>
        <w:t xml:space="preserve">rovněž </w:t>
      </w:r>
      <w:r w:rsidR="007F0118">
        <w:rPr>
          <w:rFonts w:eastAsia="Times New Roman" w:cs="Calibri"/>
          <w:b/>
          <w:bCs/>
          <w:color w:val="000000"/>
          <w:lang w:eastAsia="cs-CZ"/>
        </w:rPr>
        <w:t xml:space="preserve">nalézt </w:t>
      </w:r>
      <w:r w:rsidR="00B869B3">
        <w:rPr>
          <w:rFonts w:eastAsia="Times New Roman" w:cs="Calibri"/>
          <w:b/>
          <w:bCs/>
          <w:color w:val="000000"/>
          <w:lang w:eastAsia="cs-CZ"/>
        </w:rPr>
        <w:br/>
      </w:r>
      <w:r w:rsidR="007F0118">
        <w:rPr>
          <w:rFonts w:eastAsia="Times New Roman" w:cs="Calibri"/>
          <w:b/>
          <w:bCs/>
          <w:color w:val="000000"/>
          <w:lang w:eastAsia="cs-CZ"/>
        </w:rPr>
        <w:t>např. na webových stránkách Společenstva kominíků ČR.</w:t>
      </w:r>
    </w:p>
    <w:p w:rsidR="00115C59" w:rsidRPr="00115C59" w:rsidRDefault="00115C59" w:rsidP="00115C59">
      <w:pPr>
        <w:shd w:val="clear" w:color="auto" w:fill="FFFFFF"/>
        <w:spacing w:before="100" w:beforeAutospacing="1" w:after="0" w:line="240" w:lineRule="auto"/>
        <w:contextualSpacing/>
        <w:jc w:val="both"/>
        <w:rPr>
          <w:rFonts w:eastAsia="Times New Roman" w:cs="Calibri"/>
          <w:color w:val="000000"/>
          <w:lang w:eastAsia="cs-CZ"/>
        </w:rPr>
      </w:pPr>
      <w:r w:rsidRPr="00115C59">
        <w:rPr>
          <w:rFonts w:eastAsia="Times New Roman" w:cs="Calibri"/>
          <w:b/>
          <w:bCs/>
          <w:color w:val="000000"/>
          <w:lang w:eastAsia="cs-CZ"/>
        </w:rPr>
        <w:lastRenderedPageBreak/>
        <w:t>Čištění spalinové cesty</w:t>
      </w:r>
    </w:p>
    <w:p w:rsidR="00115C59" w:rsidRPr="00115C59" w:rsidRDefault="00115C59" w:rsidP="00115C59">
      <w:pPr>
        <w:shd w:val="clear" w:color="auto" w:fill="FFFFFF"/>
        <w:spacing w:before="100" w:beforeAutospacing="1" w:after="100" w:afterAutospacing="1" w:line="240" w:lineRule="auto"/>
        <w:contextualSpacing/>
        <w:jc w:val="both"/>
        <w:rPr>
          <w:rFonts w:eastAsia="Times New Roman" w:cs="Calibri"/>
          <w:color w:val="000000"/>
          <w:lang w:eastAsia="cs-CZ"/>
        </w:rPr>
      </w:pPr>
      <w:r w:rsidRPr="00115C59">
        <w:rPr>
          <w:rFonts w:eastAsia="Times New Roman" w:cs="Calibri"/>
          <w:color w:val="000000"/>
          <w:lang w:eastAsia="cs-CZ"/>
        </w:rPr>
        <w:t>Čištěním spalinové cesty se rozumí čistící práce, zejména se zaměřením na odstraňování pevných usazenin a nečistot ve spalinové cestě a na lapači jisker a na vybírání pevných znečisťujících částí nahromaděných v neúčinné výšce komínového průchodu nebo kondenzátů ze spalinové cesty.</w:t>
      </w:r>
    </w:p>
    <w:p w:rsidR="00115C59" w:rsidRDefault="00115C59" w:rsidP="00115C59">
      <w:pPr>
        <w:shd w:val="clear" w:color="auto" w:fill="FFFFFF"/>
        <w:spacing w:before="100" w:beforeAutospacing="1" w:after="0" w:line="240" w:lineRule="auto"/>
        <w:contextualSpacing/>
        <w:jc w:val="both"/>
        <w:rPr>
          <w:rFonts w:eastAsia="Times New Roman" w:cs="Calibri"/>
          <w:b/>
          <w:bCs/>
          <w:color w:val="000000"/>
          <w:lang w:eastAsia="cs-CZ"/>
        </w:rPr>
      </w:pPr>
      <w:r w:rsidRPr="00115C59">
        <w:rPr>
          <w:rFonts w:eastAsia="Times New Roman" w:cs="Calibri"/>
          <w:b/>
          <w:bCs/>
          <w:color w:val="000000"/>
          <w:lang w:eastAsia="cs-CZ"/>
        </w:rPr>
        <w:t xml:space="preserve">Čištění spalinové cesty provádí oprávněná osoba, kterou je držitel živnostenského oprávnění </w:t>
      </w:r>
      <w:r w:rsidR="0071514D">
        <w:rPr>
          <w:rFonts w:eastAsia="Times New Roman" w:cs="Calibri"/>
          <w:b/>
          <w:bCs/>
          <w:color w:val="000000"/>
          <w:lang w:eastAsia="cs-CZ"/>
        </w:rPr>
        <w:br/>
      </w:r>
      <w:r w:rsidRPr="00115C59">
        <w:rPr>
          <w:rFonts w:eastAsia="Times New Roman" w:cs="Calibri"/>
          <w:b/>
          <w:bCs/>
          <w:color w:val="000000"/>
          <w:lang w:eastAsia="cs-CZ"/>
        </w:rPr>
        <w:t>v oboru kominictví.</w:t>
      </w:r>
    </w:p>
    <w:p w:rsidR="00B77A65" w:rsidRPr="00B77A65" w:rsidRDefault="00B77A65" w:rsidP="00B77A65">
      <w:pPr>
        <w:shd w:val="clear" w:color="auto" w:fill="FFFFFF"/>
        <w:spacing w:before="100" w:beforeAutospacing="1" w:after="0" w:line="240" w:lineRule="auto"/>
        <w:contextualSpacing/>
        <w:jc w:val="both"/>
        <w:rPr>
          <w:rFonts w:eastAsia="Times New Roman" w:cs="Calibri"/>
          <w:color w:val="000000"/>
          <w:lang w:eastAsia="cs-CZ"/>
        </w:rPr>
      </w:pPr>
    </w:p>
    <w:p w:rsidR="00115C59" w:rsidRPr="005D7EE2" w:rsidRDefault="00B77A65" w:rsidP="0071514D">
      <w:pPr>
        <w:jc w:val="both"/>
        <w:rPr>
          <w:rFonts w:eastAsia="Times New Roman" w:cs="Calibri"/>
          <w:b/>
          <w:bCs/>
          <w:color w:val="000000"/>
          <w:lang w:eastAsia="cs-CZ"/>
        </w:rPr>
      </w:pPr>
      <w:r>
        <w:rPr>
          <w:rFonts w:eastAsia="Times New Roman" w:cs="Calibri"/>
          <w:color w:val="000000"/>
          <w:lang w:eastAsia="cs-CZ"/>
        </w:rPr>
        <w:t>Zejména z důvodu řešení problémů s vyskytujícími se tzv. „falešnými kominíky</w:t>
      </w:r>
      <w:r w:rsidRPr="00B77A65">
        <w:rPr>
          <w:rFonts w:eastAsia="Times New Roman" w:cs="Calibri"/>
          <w:color w:val="000000"/>
          <w:lang w:eastAsia="cs-CZ"/>
        </w:rPr>
        <w:t>“</w:t>
      </w:r>
      <w:r>
        <w:rPr>
          <w:rFonts w:eastAsia="Times New Roman" w:cs="Calibri"/>
          <w:color w:val="000000"/>
          <w:lang w:eastAsia="cs-CZ"/>
        </w:rPr>
        <w:t>, tj. aby se předešlo situacím, kdy lidé „</w:t>
      </w:r>
      <w:r w:rsidRPr="00B77A65">
        <w:rPr>
          <w:rFonts w:eastAsia="Times New Roman" w:cs="Calibri"/>
          <w:color w:val="000000"/>
          <w:lang w:eastAsia="cs-CZ"/>
        </w:rPr>
        <w:t>naletěli“ někomu, kdo k revizi spalinových cest vůbec nemá oprávnění</w:t>
      </w:r>
      <w:r>
        <w:rPr>
          <w:rFonts w:eastAsia="Times New Roman" w:cs="Calibri"/>
          <w:color w:val="000000"/>
          <w:lang w:eastAsia="cs-CZ"/>
        </w:rPr>
        <w:t xml:space="preserve">, byla vytvořena databáze </w:t>
      </w:r>
      <w:r w:rsidRPr="00B77A65">
        <w:rPr>
          <w:rFonts w:eastAsia="Times New Roman" w:cs="Calibri"/>
          <w:color w:val="000000"/>
          <w:lang w:eastAsia="cs-CZ"/>
        </w:rPr>
        <w:t>revizních techniků spalinových cest</w:t>
      </w:r>
      <w:r>
        <w:rPr>
          <w:rFonts w:eastAsia="Times New Roman" w:cs="Calibri"/>
          <w:color w:val="000000"/>
          <w:lang w:eastAsia="cs-CZ"/>
        </w:rPr>
        <w:t xml:space="preserve">, </w:t>
      </w:r>
      <w:r w:rsidRPr="00B77A65">
        <w:rPr>
          <w:rFonts w:eastAsia="Times New Roman" w:cs="Calibri"/>
          <w:color w:val="000000"/>
          <w:lang w:eastAsia="cs-CZ"/>
        </w:rPr>
        <w:t xml:space="preserve">kterou na svých stránkách spustilo </w:t>
      </w:r>
      <w:r w:rsidR="00DE6E0F">
        <w:rPr>
          <w:rFonts w:eastAsia="Times New Roman" w:cs="Calibri"/>
          <w:color w:val="000000"/>
          <w:lang w:eastAsia="cs-CZ"/>
        </w:rPr>
        <w:br/>
      </w:r>
      <w:r w:rsidRPr="00B77A65">
        <w:rPr>
          <w:rFonts w:eastAsia="Times New Roman" w:cs="Calibri"/>
          <w:color w:val="000000"/>
          <w:lang w:eastAsia="cs-CZ"/>
        </w:rPr>
        <w:t xml:space="preserve">MV – generální ředitelství HZS ČR. Na internetové adrese </w:t>
      </w:r>
      <w:hyperlink r:id="rId5" w:history="1">
        <w:r w:rsidRPr="00DE6E0F">
          <w:rPr>
            <w:rFonts w:eastAsia="Times New Roman" w:cs="Calibri"/>
            <w:color w:val="2E74B5"/>
            <w:lang w:eastAsia="cs-CZ"/>
          </w:rPr>
          <w:t>http://aplikace.hzscr.cz/revizni-technik-spalinovych-cest/</w:t>
        </w:r>
      </w:hyperlink>
      <w:r w:rsidRPr="00B77A65">
        <w:rPr>
          <w:rFonts w:eastAsia="Times New Roman" w:cs="Calibri"/>
          <w:color w:val="000000"/>
          <w:lang w:eastAsia="cs-CZ"/>
        </w:rPr>
        <w:t xml:space="preserve"> si nyní může každý ověřit, zda technik, kterého si pozval, má ke své činnosti </w:t>
      </w:r>
      <w:r w:rsidR="0071514D">
        <w:rPr>
          <w:rFonts w:eastAsia="Times New Roman" w:cs="Calibri"/>
          <w:color w:val="000000"/>
          <w:lang w:eastAsia="cs-CZ"/>
        </w:rPr>
        <w:t>osvědčení.</w:t>
      </w:r>
    </w:p>
    <w:p w:rsidR="00115C59" w:rsidRPr="00AD2E72" w:rsidRDefault="00AD2E72" w:rsidP="00115C59">
      <w:pPr>
        <w:shd w:val="clear" w:color="auto" w:fill="FFFFFF"/>
        <w:spacing w:before="100" w:beforeAutospacing="1" w:after="100" w:afterAutospacing="1" w:line="240" w:lineRule="auto"/>
        <w:contextualSpacing/>
        <w:jc w:val="both"/>
        <w:rPr>
          <w:rFonts w:eastAsia="Times New Roman" w:cs="Calibri"/>
          <w:b/>
          <w:bCs/>
          <w:color w:val="000000"/>
          <w:lang w:eastAsia="cs-CZ"/>
        </w:rPr>
      </w:pPr>
      <w:r>
        <w:rPr>
          <w:rFonts w:eastAsia="Times New Roman" w:cs="Calibri"/>
          <w:b/>
          <w:bCs/>
          <w:color w:val="000000"/>
          <w:lang w:eastAsia="cs-CZ"/>
        </w:rPr>
        <w:t xml:space="preserve">Tabulka lhůt </w:t>
      </w:r>
      <w:r w:rsidR="003D2DDF">
        <w:rPr>
          <w:rFonts w:eastAsia="Times New Roman" w:cs="Calibri"/>
          <w:b/>
          <w:bCs/>
          <w:color w:val="000000"/>
          <w:lang w:eastAsia="cs-CZ"/>
        </w:rPr>
        <w:t xml:space="preserve">pro </w:t>
      </w:r>
      <w:r>
        <w:rPr>
          <w:rFonts w:eastAsia="Times New Roman" w:cs="Calibri"/>
          <w:b/>
          <w:bCs/>
          <w:color w:val="000000"/>
          <w:lang w:eastAsia="cs-CZ"/>
        </w:rPr>
        <w:t>čištění a kontrol</w:t>
      </w:r>
      <w:r w:rsidR="003D2DDF">
        <w:rPr>
          <w:rFonts w:eastAsia="Times New Roman" w:cs="Calibri"/>
          <w:b/>
          <w:bCs/>
          <w:color w:val="000000"/>
          <w:lang w:eastAsia="cs-CZ"/>
        </w:rPr>
        <w:t>y</w:t>
      </w:r>
      <w:r>
        <w:rPr>
          <w:rFonts w:eastAsia="Times New Roman" w:cs="Calibri"/>
          <w:b/>
          <w:bCs/>
          <w:color w:val="000000"/>
          <w:lang w:eastAsia="cs-CZ"/>
        </w:rPr>
        <w:t xml:space="preserve"> spalinových cest podle přílohy č. 2 k vyhlášce </w:t>
      </w:r>
      <w:r w:rsidRPr="00AD2E72">
        <w:rPr>
          <w:rFonts w:eastAsia="Times New Roman" w:cs="Calibri"/>
          <w:b/>
          <w:color w:val="000000"/>
          <w:lang w:eastAsia="cs-CZ"/>
        </w:rPr>
        <w:t xml:space="preserve">č. 34/2016 Sb., </w:t>
      </w:r>
      <w:r>
        <w:rPr>
          <w:rFonts w:eastAsia="Times New Roman" w:cs="Calibri"/>
          <w:b/>
          <w:color w:val="000000"/>
          <w:lang w:eastAsia="cs-CZ"/>
        </w:rPr>
        <w:br/>
      </w:r>
      <w:r w:rsidRPr="00AD2E72">
        <w:rPr>
          <w:rFonts w:eastAsia="Times New Roman" w:cs="Calibri"/>
          <w:b/>
          <w:color w:val="000000"/>
          <w:lang w:eastAsia="cs-CZ"/>
        </w:rPr>
        <w:t>o čištění, kontrole a revizi spalinové cesty, ve znění pozdějších předpisů</w:t>
      </w:r>
      <w:r>
        <w:rPr>
          <w:rFonts w:eastAsia="Times New Roman" w:cs="Calibri"/>
          <w:b/>
          <w:color w:val="000000"/>
          <w:lang w:eastAsia="cs-CZ"/>
        </w:rPr>
        <w:t>.</w:t>
      </w:r>
    </w:p>
    <w:p w:rsidR="00115C59" w:rsidRPr="005D7EE2" w:rsidRDefault="00115C59" w:rsidP="00115C59">
      <w:pPr>
        <w:shd w:val="clear" w:color="auto" w:fill="FFFFFF"/>
        <w:spacing w:before="100" w:beforeAutospacing="1" w:after="100" w:afterAutospacing="1" w:line="240" w:lineRule="auto"/>
        <w:contextualSpacing/>
        <w:jc w:val="both"/>
        <w:rPr>
          <w:rFonts w:eastAsia="Times New Roman" w:cs="Calibri"/>
          <w:b/>
          <w:bCs/>
          <w:color w:val="000000"/>
          <w:lang w:eastAsia="cs-CZ"/>
        </w:rPr>
      </w:pPr>
    </w:p>
    <w:tbl>
      <w:tblPr>
        <w:tblW w:w="9097" w:type="dxa"/>
        <w:tblInd w:w="59" w:type="dxa"/>
        <w:shd w:val="clear" w:color="auto" w:fill="FFFFFF"/>
        <w:tblLayout w:type="fixed"/>
        <w:tblCellMar>
          <w:left w:w="0" w:type="dxa"/>
          <w:right w:w="0" w:type="dxa"/>
        </w:tblCellMar>
        <w:tblLook w:val="04A0" w:firstRow="1" w:lastRow="0" w:firstColumn="1" w:lastColumn="0" w:noHBand="0" w:noVBand="1"/>
      </w:tblPr>
      <w:tblGrid>
        <w:gridCol w:w="1429"/>
        <w:gridCol w:w="1635"/>
        <w:gridCol w:w="961"/>
        <w:gridCol w:w="914"/>
        <w:gridCol w:w="1026"/>
        <w:gridCol w:w="1378"/>
        <w:gridCol w:w="1724"/>
        <w:gridCol w:w="30"/>
      </w:tblGrid>
      <w:tr w:rsidR="00115C59" w:rsidRPr="00115C59" w:rsidTr="005D7EE2">
        <w:tc>
          <w:tcPr>
            <w:tcW w:w="9067" w:type="dxa"/>
            <w:gridSpan w:val="7"/>
            <w:vMerge w:val="restart"/>
            <w:tcBorders>
              <w:top w:val="single" w:sz="8" w:space="0" w:color="auto"/>
              <w:left w:val="single" w:sz="8" w:space="0" w:color="auto"/>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center"/>
              <w:rPr>
                <w:rFonts w:eastAsia="Times New Roman" w:cs="Calibri"/>
                <w:sz w:val="20"/>
                <w:szCs w:val="20"/>
                <w:lang w:eastAsia="cs-CZ"/>
              </w:rPr>
            </w:pPr>
            <w:r w:rsidRPr="00115C59">
              <w:rPr>
                <w:rFonts w:eastAsia="Times New Roman" w:cs="Calibri"/>
                <w:b/>
                <w:bCs/>
                <w:color w:val="000000"/>
                <w:sz w:val="20"/>
                <w:szCs w:val="20"/>
                <w:lang w:eastAsia="cs-CZ"/>
              </w:rPr>
              <w:t>Lhůty čištění a kontrol spalinové cesty</w:t>
            </w:r>
          </w:p>
        </w:tc>
        <w:tc>
          <w:tcPr>
            <w:tcW w:w="30" w:type="dxa"/>
            <w:tcBorders>
              <w:top w:val="nil"/>
              <w:left w:val="nil"/>
              <w:bottom w:val="nil"/>
              <w:right w:val="nil"/>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lang w:eastAsia="cs-CZ"/>
              </w:rPr>
            </w:pPr>
          </w:p>
        </w:tc>
      </w:tr>
      <w:tr w:rsidR="00115C59" w:rsidRPr="00115C59" w:rsidTr="005D7EE2">
        <w:trPr>
          <w:trHeight w:val="46"/>
        </w:trPr>
        <w:tc>
          <w:tcPr>
            <w:tcW w:w="9067" w:type="dxa"/>
            <w:gridSpan w:val="7"/>
            <w:vMerge/>
            <w:tcBorders>
              <w:top w:val="single" w:sz="8" w:space="0" w:color="auto"/>
              <w:left w:val="single" w:sz="8" w:space="0" w:color="auto"/>
              <w:bottom w:val="single" w:sz="8" w:space="0" w:color="000000"/>
              <w:right w:val="single" w:sz="8" w:space="0" w:color="000000"/>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sz w:val="20"/>
                <w:szCs w:val="20"/>
                <w:lang w:eastAsia="cs-CZ"/>
              </w:rPr>
            </w:pPr>
          </w:p>
        </w:tc>
        <w:tc>
          <w:tcPr>
            <w:tcW w:w="30" w:type="dxa"/>
            <w:tcBorders>
              <w:top w:val="nil"/>
              <w:left w:val="nil"/>
              <w:bottom w:val="nil"/>
              <w:right w:val="nil"/>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lang w:eastAsia="cs-CZ"/>
              </w:rPr>
            </w:pPr>
          </w:p>
        </w:tc>
      </w:tr>
      <w:tr w:rsidR="005D7EE2" w:rsidRPr="00115C59" w:rsidTr="005D7EE2">
        <w:trPr>
          <w:trHeight w:val="330"/>
        </w:trPr>
        <w:tc>
          <w:tcPr>
            <w:tcW w:w="1429" w:type="dxa"/>
            <w:vMerge w:val="restart"/>
            <w:tcBorders>
              <w:top w:val="nil"/>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b/>
                <w:bCs/>
                <w:color w:val="000000"/>
                <w:sz w:val="20"/>
                <w:szCs w:val="20"/>
                <w:lang w:eastAsia="cs-CZ"/>
              </w:rPr>
              <w:t>Výkon připojeného spotřebiče paliv</w:t>
            </w:r>
          </w:p>
        </w:tc>
        <w:tc>
          <w:tcPr>
            <w:tcW w:w="1635" w:type="dxa"/>
            <w:vMerge w:val="restart"/>
            <w:tcBorders>
              <w:top w:val="nil"/>
              <w:left w:val="nil"/>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b/>
                <w:bCs/>
                <w:color w:val="000000"/>
                <w:sz w:val="20"/>
                <w:szCs w:val="20"/>
                <w:lang w:eastAsia="cs-CZ"/>
              </w:rPr>
              <w:t>Činnost</w:t>
            </w:r>
          </w:p>
        </w:tc>
        <w:tc>
          <w:tcPr>
            <w:tcW w:w="6003" w:type="dxa"/>
            <w:gridSpan w:val="5"/>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b/>
                <w:bCs/>
                <w:color w:val="000000"/>
                <w:sz w:val="20"/>
                <w:szCs w:val="20"/>
                <w:lang w:eastAsia="cs-CZ"/>
              </w:rPr>
              <w:t>Druh paliva připojeného spotřebiče paliv</w:t>
            </w:r>
          </w:p>
        </w:tc>
        <w:tc>
          <w:tcPr>
            <w:tcW w:w="30" w:type="dxa"/>
            <w:tcBorders>
              <w:top w:val="nil"/>
              <w:left w:val="nil"/>
              <w:bottom w:val="nil"/>
              <w:right w:val="nil"/>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lang w:eastAsia="cs-CZ"/>
              </w:rPr>
            </w:pPr>
          </w:p>
        </w:tc>
      </w:tr>
      <w:tr w:rsidR="00115C59" w:rsidRPr="005D7EE2" w:rsidTr="005D7EE2">
        <w:trPr>
          <w:trHeight w:val="330"/>
        </w:trPr>
        <w:tc>
          <w:tcPr>
            <w:tcW w:w="1429" w:type="dxa"/>
            <w:vMerge/>
            <w:tcBorders>
              <w:top w:val="nil"/>
              <w:left w:val="single" w:sz="8" w:space="0" w:color="auto"/>
              <w:bottom w:val="single" w:sz="8" w:space="0" w:color="000000"/>
              <w:right w:val="single" w:sz="8" w:space="0" w:color="auto"/>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sz w:val="20"/>
                <w:szCs w:val="20"/>
                <w:lang w:eastAsia="cs-CZ"/>
              </w:rPr>
            </w:pPr>
          </w:p>
        </w:tc>
        <w:tc>
          <w:tcPr>
            <w:tcW w:w="1635" w:type="dxa"/>
            <w:vMerge/>
            <w:tcBorders>
              <w:top w:val="nil"/>
              <w:left w:val="nil"/>
              <w:bottom w:val="single" w:sz="8" w:space="0" w:color="000000"/>
              <w:right w:val="single" w:sz="8" w:space="0" w:color="auto"/>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sz w:val="20"/>
                <w:szCs w:val="20"/>
                <w:lang w:eastAsia="cs-CZ"/>
              </w:rPr>
            </w:pPr>
          </w:p>
        </w:tc>
        <w:tc>
          <w:tcPr>
            <w:tcW w:w="1875" w:type="dxa"/>
            <w:gridSpan w:val="2"/>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b/>
                <w:bCs/>
                <w:color w:val="000000"/>
                <w:sz w:val="20"/>
                <w:szCs w:val="20"/>
                <w:lang w:eastAsia="cs-CZ"/>
              </w:rPr>
              <w:t>pevné</w:t>
            </w:r>
          </w:p>
        </w:tc>
        <w:tc>
          <w:tcPr>
            <w:tcW w:w="2404" w:type="dxa"/>
            <w:gridSpan w:val="2"/>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b/>
                <w:bCs/>
                <w:color w:val="000000"/>
                <w:sz w:val="20"/>
                <w:szCs w:val="20"/>
                <w:lang w:eastAsia="cs-CZ"/>
              </w:rPr>
              <w:t>kapalné</w:t>
            </w:r>
          </w:p>
        </w:tc>
        <w:tc>
          <w:tcPr>
            <w:tcW w:w="1724" w:type="dxa"/>
            <w:vMerge w:val="restart"/>
            <w:tcBorders>
              <w:top w:val="nil"/>
              <w:left w:val="nil"/>
              <w:bottom w:val="single" w:sz="8" w:space="0" w:color="000000"/>
              <w:right w:val="single" w:sz="8" w:space="0" w:color="auto"/>
            </w:tcBorders>
            <w:shd w:val="clear" w:color="auto" w:fill="FFFFFF"/>
            <w:noWrap/>
            <w:tcMar>
              <w:top w:w="0" w:type="dxa"/>
              <w:left w:w="70" w:type="dxa"/>
              <w:bottom w:w="0" w:type="dxa"/>
              <w:right w:w="70" w:type="dxa"/>
            </w:tcMa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b/>
                <w:bCs/>
                <w:color w:val="000000"/>
                <w:sz w:val="20"/>
                <w:szCs w:val="20"/>
                <w:lang w:eastAsia="cs-CZ"/>
              </w:rPr>
              <w:t>plynné</w:t>
            </w:r>
          </w:p>
        </w:tc>
        <w:tc>
          <w:tcPr>
            <w:tcW w:w="30" w:type="dxa"/>
            <w:tcBorders>
              <w:top w:val="nil"/>
              <w:left w:val="nil"/>
              <w:bottom w:val="nil"/>
              <w:right w:val="nil"/>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lang w:eastAsia="cs-CZ"/>
              </w:rPr>
            </w:pPr>
          </w:p>
        </w:tc>
      </w:tr>
      <w:tr w:rsidR="00115C59" w:rsidRPr="005D7EE2" w:rsidTr="005D7EE2">
        <w:trPr>
          <w:trHeight w:val="645"/>
        </w:trPr>
        <w:tc>
          <w:tcPr>
            <w:tcW w:w="1429" w:type="dxa"/>
            <w:vMerge/>
            <w:tcBorders>
              <w:top w:val="nil"/>
              <w:left w:val="single" w:sz="8" w:space="0" w:color="auto"/>
              <w:bottom w:val="single" w:sz="8" w:space="0" w:color="000000"/>
              <w:right w:val="single" w:sz="8" w:space="0" w:color="auto"/>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sz w:val="20"/>
                <w:szCs w:val="20"/>
                <w:lang w:eastAsia="cs-CZ"/>
              </w:rPr>
            </w:pPr>
          </w:p>
        </w:tc>
        <w:tc>
          <w:tcPr>
            <w:tcW w:w="1635" w:type="dxa"/>
            <w:vMerge/>
            <w:tcBorders>
              <w:top w:val="nil"/>
              <w:left w:val="nil"/>
              <w:bottom w:val="single" w:sz="8" w:space="0" w:color="000000"/>
              <w:right w:val="single" w:sz="8" w:space="0" w:color="auto"/>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sz w:val="20"/>
                <w:szCs w:val="20"/>
                <w:lang w:eastAsia="cs-CZ"/>
              </w:rPr>
            </w:pPr>
          </w:p>
        </w:tc>
        <w:tc>
          <w:tcPr>
            <w:tcW w:w="96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celoroční provoz</w:t>
            </w:r>
          </w:p>
        </w:tc>
        <w:tc>
          <w:tcPr>
            <w:tcW w:w="9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sezónní provoz</w:t>
            </w:r>
          </w:p>
        </w:tc>
        <w:tc>
          <w:tcPr>
            <w:tcW w:w="10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celoroční provoz</w:t>
            </w:r>
          </w:p>
        </w:tc>
        <w:tc>
          <w:tcPr>
            <w:tcW w:w="13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sezónní provoz</w:t>
            </w:r>
          </w:p>
        </w:tc>
        <w:tc>
          <w:tcPr>
            <w:tcW w:w="1724" w:type="dxa"/>
            <w:vMerge/>
            <w:tcBorders>
              <w:top w:val="nil"/>
              <w:left w:val="nil"/>
              <w:bottom w:val="single" w:sz="8" w:space="0" w:color="000000"/>
              <w:right w:val="single" w:sz="8" w:space="0" w:color="auto"/>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sz w:val="20"/>
                <w:szCs w:val="20"/>
                <w:lang w:eastAsia="cs-CZ"/>
              </w:rPr>
            </w:pPr>
          </w:p>
        </w:tc>
        <w:tc>
          <w:tcPr>
            <w:tcW w:w="30" w:type="dxa"/>
            <w:tcBorders>
              <w:top w:val="nil"/>
              <w:left w:val="nil"/>
              <w:bottom w:val="nil"/>
              <w:right w:val="nil"/>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lang w:eastAsia="cs-CZ"/>
              </w:rPr>
            </w:pPr>
          </w:p>
        </w:tc>
      </w:tr>
      <w:tr w:rsidR="00115C59" w:rsidRPr="005D7EE2" w:rsidTr="005D7EE2">
        <w:trPr>
          <w:trHeight w:val="570"/>
        </w:trPr>
        <w:tc>
          <w:tcPr>
            <w:tcW w:w="1429" w:type="dxa"/>
            <w:vMerge w:val="restart"/>
            <w:tcBorders>
              <w:top w:val="nil"/>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center"/>
            <w:hideMark/>
          </w:tcPr>
          <w:p w:rsidR="00115C59" w:rsidRPr="00115C59" w:rsidRDefault="00115C59" w:rsidP="00DB115D">
            <w:pPr>
              <w:spacing w:before="100" w:beforeAutospacing="1" w:after="100" w:afterAutospacing="1" w:line="240" w:lineRule="auto"/>
              <w:contextualSpacing/>
              <w:rPr>
                <w:rFonts w:eastAsia="Times New Roman" w:cs="Calibri"/>
                <w:sz w:val="20"/>
                <w:szCs w:val="20"/>
                <w:lang w:eastAsia="cs-CZ"/>
              </w:rPr>
            </w:pPr>
            <w:r w:rsidRPr="00115C59">
              <w:rPr>
                <w:rFonts w:eastAsia="Times New Roman" w:cs="Calibri"/>
                <w:b/>
                <w:bCs/>
                <w:color w:val="000000"/>
                <w:sz w:val="20"/>
                <w:szCs w:val="20"/>
                <w:lang w:eastAsia="cs-CZ"/>
              </w:rPr>
              <w:t>do 50 kW včetně</w:t>
            </w:r>
          </w:p>
        </w:tc>
        <w:tc>
          <w:tcPr>
            <w:tcW w:w="1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C59" w:rsidRPr="00115C59" w:rsidRDefault="00115C59" w:rsidP="00DB115D">
            <w:pPr>
              <w:spacing w:before="100" w:beforeAutospacing="1" w:after="100" w:afterAutospacing="1" w:line="240" w:lineRule="auto"/>
              <w:contextualSpacing/>
              <w:rPr>
                <w:rFonts w:eastAsia="Times New Roman" w:cs="Calibri"/>
                <w:sz w:val="20"/>
                <w:szCs w:val="20"/>
                <w:lang w:eastAsia="cs-CZ"/>
              </w:rPr>
            </w:pPr>
            <w:r w:rsidRPr="00115C59">
              <w:rPr>
                <w:rFonts w:eastAsia="Times New Roman" w:cs="Calibri"/>
                <w:color w:val="000000"/>
                <w:sz w:val="20"/>
                <w:szCs w:val="20"/>
                <w:lang w:eastAsia="cs-CZ"/>
              </w:rPr>
              <w:t>čištění spalinové cesty</w:t>
            </w:r>
          </w:p>
        </w:tc>
        <w:tc>
          <w:tcPr>
            <w:tcW w:w="96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3 x za rok</w:t>
            </w:r>
          </w:p>
        </w:tc>
        <w:tc>
          <w:tcPr>
            <w:tcW w:w="9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2 x za rok</w:t>
            </w:r>
          </w:p>
        </w:tc>
        <w:tc>
          <w:tcPr>
            <w:tcW w:w="10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2 x za rok</w:t>
            </w:r>
          </w:p>
        </w:tc>
        <w:tc>
          <w:tcPr>
            <w:tcW w:w="13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1 x za rok</w:t>
            </w:r>
          </w:p>
        </w:tc>
        <w:tc>
          <w:tcPr>
            <w:tcW w:w="17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1 x za rok</w:t>
            </w:r>
          </w:p>
        </w:tc>
        <w:tc>
          <w:tcPr>
            <w:tcW w:w="30" w:type="dxa"/>
            <w:tcBorders>
              <w:top w:val="nil"/>
              <w:left w:val="nil"/>
              <w:bottom w:val="nil"/>
              <w:right w:val="nil"/>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lang w:eastAsia="cs-CZ"/>
              </w:rPr>
            </w:pPr>
          </w:p>
        </w:tc>
      </w:tr>
      <w:tr w:rsidR="00115C59" w:rsidRPr="005D7EE2" w:rsidTr="005D7EE2">
        <w:trPr>
          <w:trHeight w:val="630"/>
        </w:trPr>
        <w:tc>
          <w:tcPr>
            <w:tcW w:w="1429" w:type="dxa"/>
            <w:vMerge/>
            <w:tcBorders>
              <w:top w:val="nil"/>
              <w:left w:val="single" w:sz="8" w:space="0" w:color="auto"/>
              <w:bottom w:val="single" w:sz="8" w:space="0" w:color="000000"/>
              <w:right w:val="single" w:sz="8" w:space="0" w:color="auto"/>
            </w:tcBorders>
            <w:shd w:val="clear" w:color="auto" w:fill="FFFFFF"/>
            <w:vAlign w:val="center"/>
            <w:hideMark/>
          </w:tcPr>
          <w:p w:rsidR="00115C59" w:rsidRPr="00115C59" w:rsidRDefault="00115C59" w:rsidP="00DB115D">
            <w:pPr>
              <w:spacing w:after="0" w:line="240" w:lineRule="auto"/>
              <w:contextualSpacing/>
              <w:rPr>
                <w:rFonts w:eastAsia="Times New Roman" w:cs="Calibri"/>
                <w:sz w:val="20"/>
                <w:szCs w:val="20"/>
                <w:lang w:eastAsia="cs-CZ"/>
              </w:rPr>
            </w:pPr>
          </w:p>
        </w:tc>
        <w:tc>
          <w:tcPr>
            <w:tcW w:w="1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C59" w:rsidRPr="00115C59" w:rsidRDefault="00115C59" w:rsidP="00DB115D">
            <w:pPr>
              <w:spacing w:before="100" w:beforeAutospacing="1" w:after="100" w:afterAutospacing="1" w:line="240" w:lineRule="auto"/>
              <w:contextualSpacing/>
              <w:rPr>
                <w:rFonts w:eastAsia="Times New Roman" w:cs="Calibri"/>
                <w:sz w:val="20"/>
                <w:szCs w:val="20"/>
                <w:lang w:eastAsia="cs-CZ"/>
              </w:rPr>
            </w:pPr>
            <w:r w:rsidRPr="00115C59">
              <w:rPr>
                <w:rFonts w:eastAsia="Times New Roman" w:cs="Calibri"/>
                <w:color w:val="000000"/>
                <w:sz w:val="20"/>
                <w:szCs w:val="20"/>
                <w:lang w:eastAsia="cs-CZ"/>
              </w:rPr>
              <w:t>kontrola spalinové cesty</w:t>
            </w:r>
          </w:p>
        </w:tc>
        <w:tc>
          <w:tcPr>
            <w:tcW w:w="1875" w:type="dxa"/>
            <w:gridSpan w:val="2"/>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1 x za rok</w:t>
            </w:r>
          </w:p>
        </w:tc>
        <w:tc>
          <w:tcPr>
            <w:tcW w:w="2404" w:type="dxa"/>
            <w:gridSpan w:val="2"/>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1 x za rok</w:t>
            </w:r>
          </w:p>
        </w:tc>
        <w:tc>
          <w:tcPr>
            <w:tcW w:w="17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1 x za rok</w:t>
            </w:r>
          </w:p>
        </w:tc>
        <w:tc>
          <w:tcPr>
            <w:tcW w:w="30" w:type="dxa"/>
            <w:tcBorders>
              <w:top w:val="nil"/>
              <w:left w:val="nil"/>
              <w:bottom w:val="nil"/>
              <w:right w:val="nil"/>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lang w:eastAsia="cs-CZ"/>
              </w:rPr>
            </w:pPr>
          </w:p>
        </w:tc>
      </w:tr>
      <w:tr w:rsidR="00115C59" w:rsidRPr="005D7EE2" w:rsidTr="005D7EE2">
        <w:trPr>
          <w:trHeight w:val="645"/>
        </w:trPr>
        <w:tc>
          <w:tcPr>
            <w:tcW w:w="1429" w:type="dxa"/>
            <w:tcBorders>
              <w:top w:val="nil"/>
              <w:left w:val="single" w:sz="8" w:space="0" w:color="auto"/>
              <w:bottom w:val="single" w:sz="8" w:space="0" w:color="auto"/>
              <w:right w:val="nil"/>
            </w:tcBorders>
            <w:shd w:val="clear" w:color="auto" w:fill="FFFFFF"/>
            <w:tcMar>
              <w:top w:w="0" w:type="dxa"/>
              <w:left w:w="70" w:type="dxa"/>
              <w:bottom w:w="0" w:type="dxa"/>
              <w:right w:w="70" w:type="dxa"/>
            </w:tcMar>
            <w:vAlign w:val="center"/>
            <w:hideMark/>
          </w:tcPr>
          <w:p w:rsidR="00115C59" w:rsidRPr="00115C59" w:rsidRDefault="00115C59" w:rsidP="00DB115D">
            <w:pPr>
              <w:spacing w:before="100" w:beforeAutospacing="1" w:after="100" w:afterAutospacing="1" w:line="240" w:lineRule="auto"/>
              <w:contextualSpacing/>
              <w:rPr>
                <w:rFonts w:eastAsia="Times New Roman" w:cs="Calibri"/>
                <w:sz w:val="20"/>
                <w:szCs w:val="20"/>
                <w:lang w:eastAsia="cs-CZ"/>
              </w:rPr>
            </w:pPr>
            <w:r w:rsidRPr="00115C59">
              <w:rPr>
                <w:rFonts w:eastAsia="Times New Roman" w:cs="Calibri"/>
                <w:b/>
                <w:bCs/>
                <w:color w:val="000000"/>
                <w:sz w:val="20"/>
                <w:szCs w:val="20"/>
                <w:lang w:eastAsia="cs-CZ"/>
              </w:rPr>
              <w:t>nad 50 kW</w:t>
            </w:r>
          </w:p>
        </w:tc>
        <w:tc>
          <w:tcPr>
            <w:tcW w:w="163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5C59" w:rsidRPr="00115C59" w:rsidRDefault="00115C59" w:rsidP="00DB115D">
            <w:pPr>
              <w:spacing w:before="100" w:beforeAutospacing="1" w:after="100" w:afterAutospacing="1" w:line="240" w:lineRule="auto"/>
              <w:contextualSpacing/>
              <w:rPr>
                <w:rFonts w:eastAsia="Times New Roman" w:cs="Calibri"/>
                <w:sz w:val="20"/>
                <w:szCs w:val="20"/>
                <w:lang w:eastAsia="cs-CZ"/>
              </w:rPr>
            </w:pPr>
            <w:r w:rsidRPr="00115C59">
              <w:rPr>
                <w:rFonts w:eastAsia="Times New Roman" w:cs="Calibri"/>
                <w:color w:val="000000"/>
                <w:sz w:val="20"/>
                <w:szCs w:val="20"/>
                <w:lang w:eastAsia="cs-CZ"/>
              </w:rPr>
              <w:t>čištění a kontrola spalinové cesty</w:t>
            </w:r>
          </w:p>
        </w:tc>
        <w:tc>
          <w:tcPr>
            <w:tcW w:w="1875" w:type="dxa"/>
            <w:gridSpan w:val="2"/>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2 x za rok</w:t>
            </w:r>
          </w:p>
        </w:tc>
        <w:tc>
          <w:tcPr>
            <w:tcW w:w="2404" w:type="dxa"/>
            <w:gridSpan w:val="2"/>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1 x za rok</w:t>
            </w:r>
          </w:p>
        </w:tc>
        <w:tc>
          <w:tcPr>
            <w:tcW w:w="17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C59" w:rsidRPr="00115C59" w:rsidRDefault="00115C59" w:rsidP="00115C59">
            <w:pPr>
              <w:spacing w:before="100" w:beforeAutospacing="1" w:after="100" w:afterAutospacing="1" w:line="240" w:lineRule="auto"/>
              <w:contextualSpacing/>
              <w:jc w:val="both"/>
              <w:rPr>
                <w:rFonts w:eastAsia="Times New Roman" w:cs="Calibri"/>
                <w:sz w:val="20"/>
                <w:szCs w:val="20"/>
                <w:lang w:eastAsia="cs-CZ"/>
              </w:rPr>
            </w:pPr>
            <w:r w:rsidRPr="00115C59">
              <w:rPr>
                <w:rFonts w:eastAsia="Times New Roman" w:cs="Calibri"/>
                <w:color w:val="000000"/>
                <w:sz w:val="20"/>
                <w:szCs w:val="20"/>
                <w:lang w:eastAsia="cs-CZ"/>
              </w:rPr>
              <w:t>1 x za rok</w:t>
            </w:r>
          </w:p>
        </w:tc>
        <w:tc>
          <w:tcPr>
            <w:tcW w:w="30" w:type="dxa"/>
            <w:tcBorders>
              <w:top w:val="nil"/>
              <w:left w:val="nil"/>
              <w:bottom w:val="nil"/>
              <w:right w:val="nil"/>
            </w:tcBorders>
            <w:shd w:val="clear" w:color="auto" w:fill="FFFFFF"/>
            <w:vAlign w:val="center"/>
            <w:hideMark/>
          </w:tcPr>
          <w:p w:rsidR="00115C59" w:rsidRPr="00115C59" w:rsidRDefault="00115C59" w:rsidP="00115C59">
            <w:pPr>
              <w:spacing w:after="0" w:line="240" w:lineRule="auto"/>
              <w:contextualSpacing/>
              <w:jc w:val="both"/>
              <w:rPr>
                <w:rFonts w:eastAsia="Times New Roman" w:cs="Calibri"/>
                <w:lang w:eastAsia="cs-CZ"/>
              </w:rPr>
            </w:pPr>
          </w:p>
        </w:tc>
      </w:tr>
    </w:tbl>
    <w:p w:rsidR="00115C59" w:rsidRPr="00115C59" w:rsidRDefault="00115C59" w:rsidP="00115C59">
      <w:pPr>
        <w:shd w:val="clear" w:color="auto" w:fill="FFFFFF"/>
        <w:spacing w:before="100" w:beforeAutospacing="1" w:after="0" w:line="240" w:lineRule="auto"/>
        <w:contextualSpacing/>
        <w:jc w:val="both"/>
        <w:rPr>
          <w:rFonts w:eastAsia="Times New Roman" w:cs="Calibri"/>
          <w:color w:val="000000"/>
          <w:lang w:eastAsia="cs-CZ"/>
        </w:rPr>
      </w:pPr>
      <w:r w:rsidRPr="00115C59">
        <w:rPr>
          <w:rFonts w:eastAsia="Times New Roman" w:cs="Calibri"/>
          <w:i/>
          <w:iCs/>
          <w:color w:val="000000"/>
          <w:lang w:eastAsia="cs-CZ"/>
        </w:rPr>
        <w:t xml:space="preserve">Poznámka: Za sezónní provoz se považuje provoz spalinové cesty nepřesahující v součtu 6 měsíců </w:t>
      </w:r>
      <w:r w:rsidR="00DE6E0F">
        <w:rPr>
          <w:rFonts w:eastAsia="Times New Roman" w:cs="Calibri"/>
          <w:i/>
          <w:iCs/>
          <w:color w:val="000000"/>
          <w:lang w:eastAsia="cs-CZ"/>
        </w:rPr>
        <w:br/>
      </w:r>
      <w:r w:rsidRPr="00115C59">
        <w:rPr>
          <w:rFonts w:eastAsia="Times New Roman" w:cs="Calibri"/>
          <w:i/>
          <w:iCs/>
          <w:color w:val="000000"/>
          <w:lang w:eastAsia="cs-CZ"/>
        </w:rPr>
        <w:t>v kalendářním roce.</w:t>
      </w:r>
    </w:p>
    <w:p w:rsidR="00115C59" w:rsidRPr="005D7EE2" w:rsidRDefault="00115C59" w:rsidP="00115C59">
      <w:pPr>
        <w:shd w:val="clear" w:color="auto" w:fill="FFFFFF"/>
        <w:spacing w:before="100" w:beforeAutospacing="1" w:after="0" w:line="240" w:lineRule="auto"/>
        <w:contextualSpacing/>
        <w:jc w:val="both"/>
        <w:rPr>
          <w:rFonts w:eastAsia="Times New Roman" w:cs="Calibri"/>
          <w:color w:val="000000"/>
          <w:lang w:eastAsia="cs-CZ"/>
        </w:rPr>
      </w:pPr>
    </w:p>
    <w:p w:rsidR="00115C59" w:rsidRPr="005D7EE2" w:rsidRDefault="00115C59" w:rsidP="00AD2E72">
      <w:pPr>
        <w:shd w:val="clear" w:color="auto" w:fill="FFFFFF"/>
        <w:spacing w:before="100" w:beforeAutospacing="1" w:after="0" w:line="240" w:lineRule="auto"/>
        <w:contextualSpacing/>
        <w:jc w:val="both"/>
        <w:rPr>
          <w:rFonts w:eastAsia="Times New Roman" w:cs="Calibri"/>
          <w:color w:val="000000"/>
          <w:lang w:eastAsia="cs-CZ"/>
        </w:rPr>
      </w:pPr>
      <w:r w:rsidRPr="00115C59">
        <w:rPr>
          <w:rFonts w:eastAsia="Times New Roman" w:cs="Calibri"/>
          <w:color w:val="000000"/>
          <w:lang w:eastAsia="cs-CZ"/>
        </w:rPr>
        <w:t>V případě vzniku požáru sazí v komíně se snažte jednat v klidu a s rozvahou.</w:t>
      </w:r>
      <w:r w:rsidRPr="005D7EE2">
        <w:rPr>
          <w:rFonts w:eastAsia="Times New Roman" w:cs="Calibri"/>
          <w:color w:val="000000"/>
          <w:lang w:eastAsia="cs-CZ"/>
        </w:rPr>
        <w:t> </w:t>
      </w:r>
      <w:r w:rsidRPr="00115C59">
        <w:rPr>
          <w:rFonts w:eastAsia="Times New Roman" w:cs="Calibri"/>
          <w:b/>
          <w:bCs/>
          <w:color w:val="000000"/>
          <w:lang w:eastAsia="cs-CZ"/>
        </w:rPr>
        <w:t>Ihned volejte hasiče na</w:t>
      </w:r>
      <w:r w:rsidRPr="005D7EE2">
        <w:rPr>
          <w:rFonts w:eastAsia="Times New Roman" w:cs="Calibri"/>
          <w:b/>
          <w:bCs/>
          <w:color w:val="000000"/>
          <w:lang w:eastAsia="cs-CZ"/>
        </w:rPr>
        <w:t> </w:t>
      </w:r>
      <w:r w:rsidRPr="00115C59">
        <w:rPr>
          <w:rFonts w:eastAsia="Times New Roman" w:cs="Calibri"/>
          <w:b/>
          <w:bCs/>
          <w:color w:val="000000"/>
          <w:lang w:eastAsia="cs-CZ"/>
        </w:rPr>
        <w:t>tísňovou linku 150, případně 112</w:t>
      </w:r>
      <w:r w:rsidRPr="00115C59">
        <w:rPr>
          <w:rFonts w:eastAsia="Times New Roman" w:cs="Calibri"/>
          <w:color w:val="000000"/>
          <w:lang w:eastAsia="cs-CZ"/>
        </w:rPr>
        <w:t>.</w:t>
      </w:r>
      <w:r w:rsidRPr="005D7EE2">
        <w:rPr>
          <w:rFonts w:eastAsia="Times New Roman" w:cs="Calibri"/>
          <w:color w:val="000000"/>
          <w:lang w:eastAsia="cs-CZ"/>
        </w:rPr>
        <w:t> </w:t>
      </w:r>
      <w:r w:rsidRPr="003D5C6E">
        <w:rPr>
          <w:rFonts w:eastAsia="Times New Roman" w:cs="Calibri"/>
          <w:b/>
          <w:color w:val="000000"/>
          <w:lang w:eastAsia="cs-CZ"/>
        </w:rPr>
        <w:t>Požár v komíně nikdy nehaste vodou.</w:t>
      </w:r>
      <w:r w:rsidRPr="005D7EE2">
        <w:rPr>
          <w:rFonts w:eastAsia="Times New Roman" w:cs="Calibri"/>
          <w:color w:val="000000"/>
          <w:lang w:eastAsia="cs-CZ"/>
        </w:rPr>
        <w:t> </w:t>
      </w:r>
      <w:r w:rsidRPr="00115C59">
        <w:rPr>
          <w:rFonts w:eastAsia="Times New Roman" w:cs="Calibri"/>
          <w:color w:val="000000"/>
          <w:lang w:eastAsia="cs-CZ"/>
        </w:rPr>
        <w:t xml:space="preserve">Komín by mohl popraskat nebo by dokonce mohlo dojít k výbuchu. </w:t>
      </w:r>
    </w:p>
    <w:p w:rsidR="00115C59" w:rsidRPr="00115C59" w:rsidRDefault="00115C59" w:rsidP="00115C59">
      <w:pPr>
        <w:shd w:val="clear" w:color="auto" w:fill="FFFFFF"/>
        <w:spacing w:before="100" w:beforeAutospacing="1" w:after="0" w:line="240" w:lineRule="auto"/>
        <w:contextualSpacing/>
        <w:jc w:val="both"/>
        <w:rPr>
          <w:rFonts w:eastAsia="Times New Roman" w:cs="Calibri"/>
          <w:color w:val="000000"/>
          <w:lang w:eastAsia="cs-CZ"/>
        </w:rPr>
      </w:pPr>
    </w:p>
    <w:p w:rsidR="00115C59" w:rsidRPr="00115C59" w:rsidRDefault="00115C59" w:rsidP="00115C59">
      <w:pPr>
        <w:shd w:val="clear" w:color="auto" w:fill="FFFFFF"/>
        <w:spacing w:before="100" w:beforeAutospacing="1" w:after="100" w:afterAutospacing="1" w:line="240" w:lineRule="auto"/>
        <w:contextualSpacing/>
        <w:jc w:val="both"/>
        <w:rPr>
          <w:rFonts w:eastAsia="Times New Roman" w:cs="Calibri"/>
          <w:color w:val="000000"/>
          <w:lang w:eastAsia="cs-CZ"/>
        </w:rPr>
      </w:pPr>
      <w:r w:rsidRPr="00115C59">
        <w:rPr>
          <w:rFonts w:eastAsia="Times New Roman" w:cs="Calibri"/>
          <w:color w:val="000000"/>
          <w:lang w:eastAsia="cs-CZ"/>
        </w:rPr>
        <w:t>Závěrem bychom rádi připomněli pár základních zásad při užívání tepelných spotřebičů. Vždy je nutné dodržovat návod výrobce ke konkrétnímu spotřebiči. Spalovat lze pouze takové palivo, pro které je konkrétní spotřebič určen. Při užívání spotřebičů na tuhá paliva používejte suché palivo, zabrání se tím nedokonalému spalování a vzniku nadměrných usazenin ve spalinové cestě.</w:t>
      </w:r>
    </w:p>
    <w:p w:rsidR="00686CF1" w:rsidRDefault="00645016" w:rsidP="00115C59">
      <w:pPr>
        <w:spacing w:line="240" w:lineRule="auto"/>
        <w:contextualSpacing/>
        <w:jc w:val="both"/>
        <w:rPr>
          <w:rFonts w:cs="Calibri"/>
        </w:rPr>
      </w:pPr>
      <w:r>
        <w:rPr>
          <w:rFonts w:cs="Calibri"/>
          <w:noProof/>
          <w:lang w:eastAsia="cs-CZ"/>
        </w:rPr>
        <mc:AlternateContent>
          <mc:Choice Requires="wps">
            <w:drawing>
              <wp:anchor distT="0" distB="0" distL="114300" distR="114300" simplePos="0" relativeHeight="251657728" behindDoc="0" locked="0" layoutInCell="1" allowOverlap="1">
                <wp:simplePos x="0" y="0"/>
                <wp:positionH relativeFrom="column">
                  <wp:posOffset>-109855</wp:posOffset>
                </wp:positionH>
                <wp:positionV relativeFrom="paragraph">
                  <wp:posOffset>141605</wp:posOffset>
                </wp:positionV>
                <wp:extent cx="6108065" cy="0"/>
                <wp:effectExtent l="8890" t="13970" r="7620" b="508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2622F7" id="_x0000_t32" coordsize="21600,21600" o:spt="32" o:oned="t" path="m,l21600,21600e" filled="f">
                <v:path arrowok="t" fillok="f" o:connecttype="none"/>
                <o:lock v:ext="edit" shapetype="t"/>
              </v:shapetype>
              <v:shape id="AutoShape 5" o:spid="_x0000_s1026" type="#_x0000_t32" style="position:absolute;margin-left:-8.65pt;margin-top:11.15pt;width:480.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gGygEAAHwDAAAOAAAAZHJzL2Uyb0RvYy54bWysU02P2yAQvVfqf0DcGzuREm2tOKsq2+1l&#10;20ba7Q+YALZRgUFAYuffdyAfu21vVX1AwMx7M/MeXt9P1rCjClGja/l8VnOmnECpXd/yHy+PH+44&#10;iwmcBINOtfykIr/fvH+3Hn2jFjigkSowInGxGX3Lh5R8U1VRDMpCnKFXjoIdBguJjqGvZICR2K2p&#10;FnW9qkYM0gcUKka6fTgH+abwd50S6XvXRZWYaTn1lsoayrrPa7VZQ9MH8IMWlzbgH7qwoB0VvVE9&#10;QAJ2CPovKqtFwIhdmgm0FXadFqrMQNPM6z+meR7AqzILiRP9Tab4/2jFt+MuMC3JO84cWLLo0yFh&#10;qcyWWZ7Rx4aytm4X8oBics/+CcXPyBxuB3C9KskvJ0/YeUZUv0HyIXoqsh+/oqQcIP6i1dQFmylJ&#10;BTYVS043S9SUmKDL1by+q1dLzsQ1VkFzBfoQ0xeFluVNy2MKoPshbdE5Mh7DvJSB41NMuS1oroBc&#10;1eGjNqb4bxwbW/5xuVgWQESjZQ7mtBj6/dYEdoT8gspXZqTI27SABycL2aBAfr7sE2hz3lNx4y7S&#10;ZDXOuu5RnnbhKhlZXLq8PMf8ht6eC/r1p9n8AgAA//8DAFBLAwQUAAYACAAAACEAjveJRd4AAAAJ&#10;AQAADwAAAGRycy9kb3ducmV2LnhtbEyPwW7CMAyG70h7h8iTuCBI2zE2uqYIIe2w4wBp19CYtqxx&#10;qialHU8/TztsJ8v2p9+fs81oG3HFzteOFMSLCARS4UxNpYLj4XX+DMIHTUY3jlDBF3rY5HeTTKfG&#10;DfSO130oBYeQT7WCKoQ2ldIXFVrtF65F4t3ZdVYHbrtSmk4PHG4bmUTRSlpdE1+odIu7CovPfW8V&#10;oO8f42i7tuXx7TbMPpLbZWgPSk3vx+0LiIBj+IPhR5/VIWenk+vJeNEomMdPD4wqSBKuDKyXyxWI&#10;0+9A5pn8/0H+DQAA//8DAFBLAQItABQABgAIAAAAIQC2gziS/gAAAOEBAAATAAAAAAAAAAAAAAAA&#10;AAAAAABbQ29udGVudF9UeXBlc10ueG1sUEsBAi0AFAAGAAgAAAAhADj9If/WAAAAlAEAAAsAAAAA&#10;AAAAAAAAAAAALwEAAF9yZWxzLy5yZWxzUEsBAi0AFAAGAAgAAAAhAJ7a6AbKAQAAfAMAAA4AAAAA&#10;AAAAAAAAAAAALgIAAGRycy9lMm9Eb2MueG1sUEsBAi0AFAAGAAgAAAAhAI73iUXeAAAACQEAAA8A&#10;AAAAAAAAAAAAAAAAJAQAAGRycy9kb3ducmV2LnhtbFBLBQYAAAAABAAEAPMAAAAvBQAAAAA=&#10;"/>
            </w:pict>
          </mc:Fallback>
        </mc:AlternateContent>
      </w:r>
    </w:p>
    <w:p w:rsidR="005D7EE2" w:rsidRDefault="005D7EE2" w:rsidP="00115C59">
      <w:pPr>
        <w:spacing w:line="240" w:lineRule="auto"/>
        <w:contextualSpacing/>
        <w:jc w:val="both"/>
        <w:rPr>
          <w:rFonts w:cs="Calibri"/>
        </w:rPr>
      </w:pPr>
    </w:p>
    <w:p w:rsidR="005D7EE2" w:rsidRDefault="005D7EE2" w:rsidP="00115C59">
      <w:pPr>
        <w:spacing w:line="240" w:lineRule="auto"/>
        <w:contextualSpacing/>
        <w:jc w:val="both"/>
        <w:rPr>
          <w:rFonts w:cs="Calibri"/>
        </w:rPr>
      </w:pPr>
      <w:r>
        <w:rPr>
          <w:rFonts w:cs="Calibri"/>
        </w:rPr>
        <w:t xml:space="preserve">Text, foto: </w:t>
      </w:r>
    </w:p>
    <w:p w:rsidR="005D7EE2" w:rsidRPr="00115C59" w:rsidRDefault="0071514D" w:rsidP="00115C59">
      <w:pPr>
        <w:spacing w:line="240" w:lineRule="auto"/>
        <w:contextualSpacing/>
        <w:jc w:val="both"/>
        <w:rPr>
          <w:rFonts w:cs="Calibri"/>
        </w:rPr>
      </w:pPr>
      <w:r>
        <w:rPr>
          <w:rFonts w:cs="Calibri"/>
        </w:rPr>
        <w:t>HZS MSK, ÚO Bruntál,</w:t>
      </w:r>
      <w:r w:rsidRPr="005D7EE2">
        <w:rPr>
          <w:rFonts w:cs="Calibri"/>
        </w:rPr>
        <w:t xml:space="preserve"> </w:t>
      </w:r>
      <w:r w:rsidR="005D7EE2" w:rsidRPr="005D7EE2">
        <w:rPr>
          <w:rFonts w:cs="Calibri"/>
        </w:rPr>
        <w:t>pracoviště prevence, ochrany obyvatelstva a krizového řízení</w:t>
      </w:r>
      <w:r w:rsidR="00AB497D">
        <w:rPr>
          <w:rFonts w:cs="Calibri"/>
        </w:rPr>
        <w:t xml:space="preserve"> </w:t>
      </w:r>
    </w:p>
    <w:sectPr w:rsidR="005D7EE2" w:rsidRPr="00115C59" w:rsidSect="00686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D2C3D"/>
    <w:multiLevelType w:val="hybridMultilevel"/>
    <w:tmpl w:val="E1D8D6A8"/>
    <w:lvl w:ilvl="0" w:tplc="97E0D166">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A697A38"/>
    <w:multiLevelType w:val="multilevel"/>
    <w:tmpl w:val="1E04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0057A5"/>
    <w:multiLevelType w:val="multilevel"/>
    <w:tmpl w:val="737C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59"/>
    <w:rsid w:val="001037F0"/>
    <w:rsid w:val="00115C59"/>
    <w:rsid w:val="001366D2"/>
    <w:rsid w:val="002B767D"/>
    <w:rsid w:val="003D0CDD"/>
    <w:rsid w:val="003D2DDF"/>
    <w:rsid w:val="003D5C6E"/>
    <w:rsid w:val="005D7EE2"/>
    <w:rsid w:val="00645016"/>
    <w:rsid w:val="00686CF1"/>
    <w:rsid w:val="00691443"/>
    <w:rsid w:val="0071514D"/>
    <w:rsid w:val="007F0118"/>
    <w:rsid w:val="008A2155"/>
    <w:rsid w:val="008C4DBD"/>
    <w:rsid w:val="00AB3B39"/>
    <w:rsid w:val="00AB497D"/>
    <w:rsid w:val="00AD2E72"/>
    <w:rsid w:val="00B77A65"/>
    <w:rsid w:val="00B869B3"/>
    <w:rsid w:val="00CC3CD3"/>
    <w:rsid w:val="00CE0CD6"/>
    <w:rsid w:val="00D2788C"/>
    <w:rsid w:val="00D54673"/>
    <w:rsid w:val="00DB115D"/>
    <w:rsid w:val="00DE6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0BB68-8B51-465C-BE69-5CCD311F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686CF1"/>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115C59"/>
  </w:style>
  <w:style w:type="paragraph" w:styleId="Normlnweb">
    <w:name w:val="Normal (Web)"/>
    <w:basedOn w:val="Normln"/>
    <w:uiPriority w:val="99"/>
    <w:semiHidden/>
    <w:unhideWhenUsed/>
    <w:rsid w:val="00115C5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clanektext">
    <w:name w:val="clanektext"/>
    <w:basedOn w:val="Standardnpsmoodstavce"/>
    <w:rsid w:val="00115C59"/>
  </w:style>
  <w:style w:type="paragraph" w:styleId="Odstavecseseznamem">
    <w:name w:val="List Paragraph"/>
    <w:basedOn w:val="Normln"/>
    <w:uiPriority w:val="34"/>
    <w:qFormat/>
    <w:rsid w:val="00115C59"/>
    <w:pPr>
      <w:ind w:left="720"/>
      <w:contextualSpacing/>
    </w:pPr>
  </w:style>
  <w:style w:type="character" w:styleId="Hypertextovodkaz">
    <w:name w:val="Hyperlink"/>
    <w:uiPriority w:val="99"/>
    <w:semiHidden/>
    <w:unhideWhenUsed/>
    <w:rsid w:val="00B77A65"/>
    <w:rPr>
      <w:color w:val="0563C1"/>
      <w:u w:val="single"/>
    </w:rPr>
  </w:style>
  <w:style w:type="character" w:styleId="Sledovanodkaz">
    <w:name w:val="FollowedHyperlink"/>
    <w:uiPriority w:val="99"/>
    <w:semiHidden/>
    <w:unhideWhenUsed/>
    <w:rsid w:val="00B77A6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157367">
      <w:bodyDiv w:val="1"/>
      <w:marLeft w:val="0"/>
      <w:marRight w:val="0"/>
      <w:marTop w:val="0"/>
      <w:marBottom w:val="0"/>
      <w:divBdr>
        <w:top w:val="none" w:sz="0" w:space="0" w:color="auto"/>
        <w:left w:val="none" w:sz="0" w:space="0" w:color="auto"/>
        <w:bottom w:val="none" w:sz="0" w:space="0" w:color="auto"/>
        <w:right w:val="none" w:sz="0" w:space="0" w:color="auto"/>
      </w:divBdr>
    </w:div>
    <w:div w:id="1036388759">
      <w:bodyDiv w:val="1"/>
      <w:marLeft w:val="0"/>
      <w:marRight w:val="0"/>
      <w:marTop w:val="0"/>
      <w:marBottom w:val="0"/>
      <w:divBdr>
        <w:top w:val="none" w:sz="0" w:space="0" w:color="auto"/>
        <w:left w:val="none" w:sz="0" w:space="0" w:color="auto"/>
        <w:bottom w:val="none" w:sz="0" w:space="0" w:color="auto"/>
        <w:right w:val="none" w:sz="0" w:space="0" w:color="auto"/>
      </w:divBdr>
    </w:div>
    <w:div w:id="1233857279">
      <w:bodyDiv w:val="1"/>
      <w:marLeft w:val="0"/>
      <w:marRight w:val="0"/>
      <w:marTop w:val="0"/>
      <w:marBottom w:val="0"/>
      <w:divBdr>
        <w:top w:val="none" w:sz="0" w:space="0" w:color="auto"/>
        <w:left w:val="none" w:sz="0" w:space="0" w:color="auto"/>
        <w:bottom w:val="none" w:sz="0" w:space="0" w:color="auto"/>
        <w:right w:val="none" w:sz="0" w:space="0" w:color="auto"/>
      </w:divBdr>
    </w:div>
    <w:div w:id="184100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likace.hzscr.cz/revizni-technik-spalinovych-cest/"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4579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799668</dc:creator>
  <cp:keywords/>
  <cp:lastModifiedBy>Machova</cp:lastModifiedBy>
  <cp:revision>2</cp:revision>
  <dcterms:created xsi:type="dcterms:W3CDTF">2019-10-14T11:37:00Z</dcterms:created>
  <dcterms:modified xsi:type="dcterms:W3CDTF">2019-10-14T11:37:00Z</dcterms:modified>
</cp:coreProperties>
</file>